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73" w:rsidRDefault="00F625C3" w:rsidP="00033B50">
      <w:pPr>
        <w:pStyle w:val="Title"/>
      </w:pPr>
      <w:r>
        <w:t>2015/</w:t>
      </w:r>
      <w:r w:rsidR="00E9363D" w:rsidRPr="00E9363D">
        <w:t>2016/17 London Employability Performance Ratings</w:t>
      </w:r>
    </w:p>
    <w:p w:rsidR="00AF22A0" w:rsidRDefault="00033B50" w:rsidP="00033B50">
      <w:pPr>
        <w:pStyle w:val="Heading2"/>
        <w:numPr>
          <w:ilvl w:val="0"/>
          <w:numId w:val="0"/>
        </w:numPr>
      </w:pPr>
      <w:r>
        <w:t xml:space="preserve">1. </w:t>
      </w:r>
      <w:r w:rsidR="00CA6D73">
        <w:t>Executive Summary</w:t>
      </w:r>
    </w:p>
    <w:p w:rsidR="002A5162" w:rsidRPr="002A5162" w:rsidRDefault="002A5162" w:rsidP="002A5162"/>
    <w:p w:rsidR="00773466" w:rsidRPr="00ED0324" w:rsidRDefault="00773466" w:rsidP="00CA6D73">
      <w:pPr>
        <w:rPr>
          <w:sz w:val="22"/>
        </w:rPr>
      </w:pPr>
      <w:r w:rsidRPr="00ED0324">
        <w:rPr>
          <w:sz w:val="22"/>
        </w:rPr>
        <w:t xml:space="preserve">1.1 </w:t>
      </w:r>
      <w:r w:rsidR="00190BD3" w:rsidRPr="00ED0324">
        <w:rPr>
          <w:sz w:val="22"/>
        </w:rPr>
        <w:tab/>
      </w:r>
      <w:r w:rsidR="00D30371" w:rsidRPr="00ED0324">
        <w:rPr>
          <w:sz w:val="22"/>
        </w:rPr>
        <w:t>The 2015/16 to 2016/17 London Employability Performance Ratings</w:t>
      </w:r>
      <w:r w:rsidR="00F625C3">
        <w:rPr>
          <w:sz w:val="22"/>
        </w:rPr>
        <w:t xml:space="preserve"> (EPR)</w:t>
      </w:r>
      <w:r w:rsidR="00D30371" w:rsidRPr="00ED0324">
        <w:rPr>
          <w:sz w:val="22"/>
        </w:rPr>
        <w:t xml:space="preserve"> have </w:t>
      </w:r>
      <w:r w:rsidRPr="00ED0324">
        <w:rPr>
          <w:sz w:val="22"/>
        </w:rPr>
        <w:tab/>
      </w:r>
      <w:r w:rsidR="00D30371" w:rsidRPr="00ED0324">
        <w:rPr>
          <w:sz w:val="22"/>
        </w:rPr>
        <w:t>been publ</w:t>
      </w:r>
      <w:r w:rsidR="00161CF4">
        <w:rPr>
          <w:sz w:val="22"/>
        </w:rPr>
        <w:t xml:space="preserve">ished on the London Datastore: </w:t>
      </w:r>
      <w:hyperlink r:id="rId8" w:history="1">
        <w:r w:rsidR="00161CF4" w:rsidRPr="000D4199">
          <w:rPr>
            <w:rStyle w:val="Hyperlink"/>
            <w:sz w:val="22"/>
          </w:rPr>
          <w:t>https://data.london.gov.uk/dataset/employability-performance-rating-epr-annual-ratings</w:t>
        </w:r>
      </w:hyperlink>
      <w:r w:rsidR="00161CF4">
        <w:rPr>
          <w:sz w:val="22"/>
        </w:rPr>
        <w:t>.</w:t>
      </w:r>
    </w:p>
    <w:p w:rsidR="00012127" w:rsidRPr="00ED0324" w:rsidRDefault="00773466" w:rsidP="00CA6D73">
      <w:pPr>
        <w:rPr>
          <w:sz w:val="22"/>
        </w:rPr>
      </w:pPr>
      <w:r w:rsidRPr="00ED0324">
        <w:rPr>
          <w:sz w:val="22"/>
        </w:rPr>
        <w:t xml:space="preserve">1.2 </w:t>
      </w:r>
      <w:r w:rsidR="00190BD3" w:rsidRPr="00ED0324">
        <w:rPr>
          <w:sz w:val="22"/>
        </w:rPr>
        <w:tab/>
      </w:r>
      <w:r w:rsidRPr="00ED0324">
        <w:rPr>
          <w:sz w:val="22"/>
        </w:rPr>
        <w:t xml:space="preserve">This will be the sixth year the ratings will have been published with a total </w:t>
      </w:r>
      <w:r w:rsidRPr="00ED0324">
        <w:rPr>
          <w:sz w:val="22"/>
        </w:rPr>
        <w:tab/>
        <w:t xml:space="preserve">of 97 </w:t>
      </w:r>
      <w:r w:rsidR="009A3129">
        <w:rPr>
          <w:sz w:val="22"/>
        </w:rPr>
        <w:tab/>
        <w:t>ratings</w:t>
      </w:r>
      <w:r w:rsidR="00ED0324">
        <w:rPr>
          <w:sz w:val="22"/>
        </w:rPr>
        <w:tab/>
      </w:r>
      <w:r w:rsidRPr="00ED0324">
        <w:rPr>
          <w:sz w:val="22"/>
        </w:rPr>
        <w:t>being allocated to 59 different organisations</w:t>
      </w:r>
      <w:bookmarkStart w:id="0" w:name="_GoBack"/>
      <w:bookmarkEnd w:id="0"/>
      <w:r w:rsidRPr="00ED0324">
        <w:rPr>
          <w:sz w:val="22"/>
        </w:rPr>
        <w:t xml:space="preserve">. </w:t>
      </w:r>
    </w:p>
    <w:p w:rsidR="0024245C" w:rsidRPr="00ED0324" w:rsidRDefault="0024245C" w:rsidP="00CA6D73">
      <w:pPr>
        <w:rPr>
          <w:sz w:val="22"/>
        </w:rPr>
      </w:pPr>
      <w:r w:rsidRPr="00ED0324">
        <w:rPr>
          <w:sz w:val="22"/>
        </w:rPr>
        <w:t xml:space="preserve">1.3 </w:t>
      </w:r>
      <w:r w:rsidR="00190BD3" w:rsidRPr="00ED0324">
        <w:rPr>
          <w:sz w:val="22"/>
        </w:rPr>
        <w:tab/>
      </w:r>
      <w:r w:rsidR="00F625C3">
        <w:rPr>
          <w:sz w:val="22"/>
        </w:rPr>
        <w:t>With</w:t>
      </w:r>
      <w:r w:rsidR="00900798">
        <w:rPr>
          <w:sz w:val="22"/>
        </w:rPr>
        <w:t xml:space="preserve"> an</w:t>
      </w:r>
      <w:r w:rsidR="00F625C3">
        <w:rPr>
          <w:sz w:val="22"/>
        </w:rPr>
        <w:t xml:space="preserve"> increase in the use of the EPR, with</w:t>
      </w:r>
      <w:r w:rsidR="00190BD3" w:rsidRPr="00ED0324">
        <w:rPr>
          <w:sz w:val="22"/>
        </w:rPr>
        <w:t xml:space="preserve"> an extensive</w:t>
      </w:r>
      <w:r w:rsidR="00ED0324">
        <w:rPr>
          <w:sz w:val="22"/>
        </w:rPr>
        <w:t xml:space="preserve"> range of </w:t>
      </w:r>
      <w:r w:rsidR="00190BD3" w:rsidRPr="00ED0324">
        <w:rPr>
          <w:sz w:val="22"/>
        </w:rPr>
        <w:t xml:space="preserve">providers </w:t>
      </w:r>
      <w:r w:rsidR="00ED0324">
        <w:rPr>
          <w:sz w:val="22"/>
        </w:rPr>
        <w:tab/>
      </w:r>
      <w:r w:rsidR="00190BD3" w:rsidRPr="00ED0324">
        <w:rPr>
          <w:sz w:val="22"/>
        </w:rPr>
        <w:t xml:space="preserve">from multiple </w:t>
      </w:r>
      <w:r w:rsidR="00900798" w:rsidRPr="00ED0324">
        <w:rPr>
          <w:sz w:val="22"/>
        </w:rPr>
        <w:t>funders</w:t>
      </w:r>
      <w:r w:rsidR="00900798">
        <w:rPr>
          <w:sz w:val="22"/>
        </w:rPr>
        <w:t>,</w:t>
      </w:r>
      <w:r w:rsidR="00900798" w:rsidRPr="00ED0324">
        <w:rPr>
          <w:sz w:val="22"/>
        </w:rPr>
        <w:t xml:space="preserve"> </w:t>
      </w:r>
      <w:r w:rsidR="00900798">
        <w:rPr>
          <w:sz w:val="22"/>
        </w:rPr>
        <w:t xml:space="preserve">a clearer </w:t>
      </w:r>
      <w:r w:rsidR="00ED0324">
        <w:rPr>
          <w:sz w:val="22"/>
        </w:rPr>
        <w:t xml:space="preserve">picture </w:t>
      </w:r>
      <w:r w:rsidR="00036D7D" w:rsidRPr="00ED0324">
        <w:rPr>
          <w:sz w:val="22"/>
        </w:rPr>
        <w:t xml:space="preserve">of how well </w:t>
      </w:r>
      <w:r w:rsidR="009A3129">
        <w:rPr>
          <w:sz w:val="22"/>
        </w:rPr>
        <w:t>London</w:t>
      </w:r>
      <w:r w:rsidR="00900798">
        <w:rPr>
          <w:sz w:val="22"/>
        </w:rPr>
        <w:t xml:space="preserve">’s employability </w:t>
      </w:r>
      <w:r w:rsidR="00900798">
        <w:rPr>
          <w:sz w:val="22"/>
        </w:rPr>
        <w:tab/>
        <w:t xml:space="preserve">programmes are performing </w:t>
      </w:r>
      <w:proofErr w:type="gramStart"/>
      <w:r w:rsidR="00900798">
        <w:rPr>
          <w:sz w:val="22"/>
        </w:rPr>
        <w:t>is able to</w:t>
      </w:r>
      <w:proofErr w:type="gramEnd"/>
      <w:r w:rsidR="00900798">
        <w:rPr>
          <w:sz w:val="22"/>
        </w:rPr>
        <w:t xml:space="preserve"> be obtained.</w:t>
      </w:r>
    </w:p>
    <w:p w:rsidR="008C0200" w:rsidRPr="00ED0324" w:rsidRDefault="008C0200" w:rsidP="00CA6D73">
      <w:pPr>
        <w:rPr>
          <w:sz w:val="22"/>
        </w:rPr>
      </w:pPr>
      <w:r w:rsidRPr="00ED0324">
        <w:rPr>
          <w:sz w:val="22"/>
        </w:rPr>
        <w:t>1.4</w:t>
      </w:r>
      <w:r w:rsidRPr="00ED0324">
        <w:rPr>
          <w:sz w:val="22"/>
        </w:rPr>
        <w:tab/>
        <w:t>58% of submissions received a rating between one and three stars.</w:t>
      </w:r>
    </w:p>
    <w:p w:rsidR="00CA6D73" w:rsidRPr="002A5162" w:rsidRDefault="00BB2B1C" w:rsidP="00CA6D73">
      <w:pPr>
        <w:rPr>
          <w:sz w:val="22"/>
        </w:rPr>
      </w:pPr>
      <w:r w:rsidRPr="00ED0324">
        <w:rPr>
          <w:sz w:val="22"/>
        </w:rPr>
        <w:t xml:space="preserve">1.5 </w:t>
      </w:r>
      <w:r w:rsidRPr="00ED0324">
        <w:rPr>
          <w:sz w:val="22"/>
        </w:rPr>
        <w:tab/>
      </w:r>
      <w:proofErr w:type="gramStart"/>
      <w:r w:rsidR="009A3129">
        <w:rPr>
          <w:sz w:val="22"/>
        </w:rPr>
        <w:t>A number of</w:t>
      </w:r>
      <w:proofErr w:type="gramEnd"/>
      <w:r w:rsidR="009A3129">
        <w:rPr>
          <w:sz w:val="22"/>
        </w:rPr>
        <w:t xml:space="preserve"> calculators not receiving a rating or receiving only one star would have </w:t>
      </w:r>
      <w:r w:rsidR="009A3129">
        <w:rPr>
          <w:sz w:val="22"/>
        </w:rPr>
        <w:tab/>
        <w:t xml:space="preserve">been able to achieve a higher rating had they sufficiently completed the customer </w:t>
      </w:r>
      <w:r w:rsidR="009A3129">
        <w:rPr>
          <w:sz w:val="22"/>
        </w:rPr>
        <w:tab/>
        <w:t xml:space="preserve">satisfaction tab. This requires 60% of all participants to have completed the </w:t>
      </w:r>
      <w:r w:rsidR="009A3129">
        <w:rPr>
          <w:sz w:val="22"/>
        </w:rPr>
        <w:tab/>
        <w:t xml:space="preserve">questionnaire. </w:t>
      </w:r>
    </w:p>
    <w:p w:rsidR="00CA6D73" w:rsidRDefault="004E7002" w:rsidP="004E7002">
      <w:pPr>
        <w:pStyle w:val="Heading2"/>
        <w:numPr>
          <w:ilvl w:val="0"/>
          <w:numId w:val="0"/>
        </w:numPr>
      </w:pPr>
      <w:r>
        <w:t xml:space="preserve">2. </w:t>
      </w:r>
      <w:r w:rsidR="00CA6D73">
        <w:t>Benefits of the Employability Performance Rating</w:t>
      </w:r>
    </w:p>
    <w:p w:rsidR="003811B6" w:rsidRPr="00F8651D" w:rsidRDefault="003811B6" w:rsidP="003811B6">
      <w:pPr>
        <w:rPr>
          <w:sz w:val="22"/>
        </w:rPr>
      </w:pPr>
      <w:r w:rsidRPr="00F8651D">
        <w:rPr>
          <w:sz w:val="22"/>
        </w:rPr>
        <w:t>2.1</w:t>
      </w:r>
      <w:r w:rsidRPr="00F8651D">
        <w:rPr>
          <w:sz w:val="22"/>
        </w:rPr>
        <w:tab/>
        <w:t xml:space="preserve">There is anecdotal evidence as to the effectiveness of skills and employment </w:t>
      </w:r>
      <w:r w:rsidRPr="00F8651D">
        <w:rPr>
          <w:sz w:val="22"/>
        </w:rPr>
        <w:tab/>
        <w:t>delivery partners in London, but little transparent information outside of</w:t>
      </w:r>
      <w:r w:rsidR="00F625C3">
        <w:rPr>
          <w:sz w:val="22"/>
        </w:rPr>
        <w:t xml:space="preserve"> the </w:t>
      </w:r>
      <w:r w:rsidR="00F625C3">
        <w:rPr>
          <w:sz w:val="22"/>
        </w:rPr>
        <w:tab/>
        <w:t>EP</w:t>
      </w:r>
      <w:r w:rsidRPr="00F8651D">
        <w:rPr>
          <w:sz w:val="22"/>
        </w:rPr>
        <w:t>R.</w:t>
      </w:r>
    </w:p>
    <w:p w:rsidR="003811B6" w:rsidRPr="00F8651D" w:rsidRDefault="003811B6" w:rsidP="003811B6">
      <w:pPr>
        <w:rPr>
          <w:sz w:val="22"/>
        </w:rPr>
      </w:pPr>
      <w:r w:rsidRPr="00F8651D">
        <w:rPr>
          <w:sz w:val="22"/>
        </w:rPr>
        <w:t>2.2</w:t>
      </w:r>
      <w:r w:rsidRPr="00F8651D">
        <w:rPr>
          <w:sz w:val="22"/>
        </w:rPr>
        <w:tab/>
        <w:t>There remain</w:t>
      </w:r>
      <w:r w:rsidR="00900798">
        <w:rPr>
          <w:sz w:val="22"/>
        </w:rPr>
        <w:t>s</w:t>
      </w:r>
      <w:r w:rsidRPr="00F8651D">
        <w:rPr>
          <w:sz w:val="22"/>
        </w:rPr>
        <w:t xml:space="preserve"> </w:t>
      </w:r>
      <w:proofErr w:type="gramStart"/>
      <w:r w:rsidRPr="00F8651D">
        <w:rPr>
          <w:sz w:val="22"/>
        </w:rPr>
        <w:t>a large number of</w:t>
      </w:r>
      <w:proofErr w:type="gramEnd"/>
      <w:r w:rsidRPr="00F8651D">
        <w:rPr>
          <w:sz w:val="22"/>
        </w:rPr>
        <w:t xml:space="preserve"> providers in London that deliver services to </w:t>
      </w:r>
      <w:r w:rsidRPr="00F8651D">
        <w:rPr>
          <w:sz w:val="22"/>
        </w:rPr>
        <w:tab/>
        <w:t>support Londoners in</w:t>
      </w:r>
      <w:r w:rsidR="00900798">
        <w:rPr>
          <w:sz w:val="22"/>
        </w:rPr>
        <w:t xml:space="preserve">to work.  As funders </w:t>
      </w:r>
      <w:proofErr w:type="gramStart"/>
      <w:r w:rsidR="00900798">
        <w:rPr>
          <w:sz w:val="22"/>
        </w:rPr>
        <w:t>commission</w:t>
      </w:r>
      <w:proofErr w:type="gramEnd"/>
      <w:r w:rsidRPr="00F8651D">
        <w:rPr>
          <w:sz w:val="22"/>
        </w:rPr>
        <w:t xml:space="preserve"> larger contracts to </w:t>
      </w:r>
      <w:r w:rsidRPr="00F8651D">
        <w:rPr>
          <w:sz w:val="22"/>
        </w:rPr>
        <w:tab/>
        <w:t xml:space="preserve">deliver </w:t>
      </w:r>
      <w:r w:rsidR="00F8651D">
        <w:rPr>
          <w:sz w:val="22"/>
        </w:rPr>
        <w:tab/>
      </w:r>
      <w:r w:rsidRPr="00F8651D">
        <w:rPr>
          <w:sz w:val="22"/>
        </w:rPr>
        <w:t>these services it is becoming increasingly important for prime</w:t>
      </w:r>
      <w:r w:rsidR="00F8651D">
        <w:rPr>
          <w:sz w:val="22"/>
        </w:rPr>
        <w:t xml:space="preserve"> </w:t>
      </w:r>
      <w:r w:rsidRPr="00F8651D">
        <w:rPr>
          <w:sz w:val="22"/>
        </w:rPr>
        <w:t xml:space="preserve">providers (as well as </w:t>
      </w:r>
      <w:r w:rsidR="00F8651D">
        <w:rPr>
          <w:sz w:val="22"/>
        </w:rPr>
        <w:tab/>
      </w:r>
      <w:r w:rsidRPr="00F8651D">
        <w:rPr>
          <w:sz w:val="22"/>
        </w:rPr>
        <w:t xml:space="preserve">funders) to be able to identify the most effective providers to join their supply </w:t>
      </w:r>
      <w:r w:rsidR="00F8651D">
        <w:rPr>
          <w:sz w:val="22"/>
        </w:rPr>
        <w:tab/>
      </w:r>
      <w:r w:rsidRPr="00F8651D">
        <w:rPr>
          <w:sz w:val="22"/>
        </w:rPr>
        <w:t xml:space="preserve">chains.  The </w:t>
      </w:r>
      <w:r w:rsidR="00F625C3">
        <w:rPr>
          <w:sz w:val="22"/>
        </w:rPr>
        <w:t>EPR</w:t>
      </w:r>
      <w:r w:rsidRPr="00F8651D">
        <w:rPr>
          <w:sz w:val="22"/>
        </w:rPr>
        <w:t xml:space="preserve"> is</w:t>
      </w:r>
      <w:r w:rsidR="00F8651D">
        <w:rPr>
          <w:sz w:val="22"/>
        </w:rPr>
        <w:t xml:space="preserve"> </w:t>
      </w:r>
      <w:r w:rsidRPr="00F8651D">
        <w:rPr>
          <w:sz w:val="22"/>
        </w:rPr>
        <w:t xml:space="preserve">providing public information that means that providers can </w:t>
      </w:r>
      <w:r w:rsidR="00F625C3">
        <w:rPr>
          <w:sz w:val="22"/>
        </w:rPr>
        <w:tab/>
      </w:r>
      <w:r w:rsidRPr="00F8651D">
        <w:rPr>
          <w:sz w:val="22"/>
        </w:rPr>
        <w:t xml:space="preserve">identify the top performing organisations.   </w:t>
      </w:r>
    </w:p>
    <w:p w:rsidR="003811B6" w:rsidRPr="00F8651D" w:rsidRDefault="003811B6" w:rsidP="003811B6">
      <w:pPr>
        <w:rPr>
          <w:sz w:val="22"/>
        </w:rPr>
      </w:pPr>
      <w:r w:rsidRPr="00F8651D">
        <w:rPr>
          <w:sz w:val="22"/>
        </w:rPr>
        <w:t>2.3</w:t>
      </w:r>
      <w:r w:rsidRPr="00F8651D">
        <w:rPr>
          <w:sz w:val="22"/>
        </w:rPr>
        <w:tab/>
        <w:t xml:space="preserve">There is no other rating tool in use, which we are aware of, that measures </w:t>
      </w:r>
      <w:r w:rsidRPr="00F8651D">
        <w:rPr>
          <w:sz w:val="22"/>
        </w:rPr>
        <w:tab/>
        <w:t>supply chain performance using a transparent methodology.  The</w:t>
      </w:r>
      <w:r w:rsidR="00F625C3">
        <w:rPr>
          <w:sz w:val="22"/>
        </w:rPr>
        <w:t xml:space="preserve"> </w:t>
      </w:r>
      <w:r w:rsidR="00900798">
        <w:rPr>
          <w:sz w:val="22"/>
        </w:rPr>
        <w:t>E</w:t>
      </w:r>
      <w:r w:rsidRPr="00F8651D">
        <w:rPr>
          <w:sz w:val="22"/>
        </w:rPr>
        <w:t>PR</w:t>
      </w:r>
      <w:r w:rsidR="00900798">
        <w:rPr>
          <w:sz w:val="22"/>
        </w:rPr>
        <w:t xml:space="preserve"> </w:t>
      </w:r>
      <w:r w:rsidRPr="00F8651D">
        <w:rPr>
          <w:sz w:val="22"/>
        </w:rPr>
        <w:t>puts Londo</w:t>
      </w:r>
      <w:r w:rsidR="00F625C3">
        <w:rPr>
          <w:sz w:val="22"/>
        </w:rPr>
        <w:t xml:space="preserve">n </w:t>
      </w:r>
      <w:r w:rsidR="00900798">
        <w:rPr>
          <w:sz w:val="22"/>
        </w:rPr>
        <w:tab/>
      </w:r>
      <w:r w:rsidR="00F625C3">
        <w:rPr>
          <w:sz w:val="22"/>
        </w:rPr>
        <w:t xml:space="preserve">ahead of other UK regions in </w:t>
      </w:r>
      <w:r w:rsidRPr="00F8651D">
        <w:rPr>
          <w:sz w:val="22"/>
        </w:rPr>
        <w:t>this respect.</w:t>
      </w:r>
    </w:p>
    <w:p w:rsidR="003811B6" w:rsidRPr="00F8651D" w:rsidRDefault="003811B6" w:rsidP="003811B6">
      <w:pPr>
        <w:rPr>
          <w:sz w:val="22"/>
        </w:rPr>
      </w:pPr>
      <w:r w:rsidRPr="00F8651D">
        <w:rPr>
          <w:sz w:val="22"/>
        </w:rPr>
        <w:t>2.4</w:t>
      </w:r>
      <w:r w:rsidRPr="00F8651D">
        <w:rPr>
          <w:sz w:val="22"/>
        </w:rPr>
        <w:tab/>
        <w:t xml:space="preserve">Publishing of rating results supports the commissioning of effective services </w:t>
      </w:r>
      <w:r w:rsidRPr="00F8651D">
        <w:rPr>
          <w:sz w:val="22"/>
        </w:rPr>
        <w:tab/>
        <w:t xml:space="preserve">providing an element of security of purchase through use of its evidence.  </w:t>
      </w:r>
    </w:p>
    <w:p w:rsidR="003811B6" w:rsidRPr="00900798" w:rsidRDefault="003811B6" w:rsidP="00CA6D73">
      <w:pPr>
        <w:rPr>
          <w:sz w:val="22"/>
        </w:rPr>
      </w:pPr>
      <w:r w:rsidRPr="00F8651D">
        <w:rPr>
          <w:sz w:val="22"/>
        </w:rPr>
        <w:t>2.5</w:t>
      </w:r>
      <w:r w:rsidRPr="00F8651D">
        <w:rPr>
          <w:sz w:val="22"/>
        </w:rPr>
        <w:tab/>
        <w:t xml:space="preserve">Providers are using the rating to benchmark their performance and </w:t>
      </w:r>
      <w:r w:rsidR="00B8276F">
        <w:rPr>
          <w:sz w:val="22"/>
        </w:rPr>
        <w:t xml:space="preserve">previous analysis </w:t>
      </w:r>
      <w:r w:rsidR="00B8276F">
        <w:rPr>
          <w:sz w:val="22"/>
        </w:rPr>
        <w:tab/>
        <w:t xml:space="preserve">indicates that providers </w:t>
      </w:r>
      <w:r w:rsidRPr="00F8651D">
        <w:rPr>
          <w:sz w:val="22"/>
        </w:rPr>
        <w:t xml:space="preserve">are motivated by the ratings and actively striving to become </w:t>
      </w:r>
      <w:r w:rsidR="00B8276F">
        <w:rPr>
          <w:sz w:val="22"/>
        </w:rPr>
        <w:tab/>
      </w:r>
      <w:r w:rsidRPr="00F8651D">
        <w:rPr>
          <w:sz w:val="22"/>
        </w:rPr>
        <w:t>four star providers</w:t>
      </w:r>
      <w:r w:rsidR="00900798">
        <w:rPr>
          <w:sz w:val="22"/>
        </w:rPr>
        <w:t>.</w:t>
      </w:r>
    </w:p>
    <w:p w:rsidR="00FE73C2" w:rsidRDefault="00FE73C2" w:rsidP="00CA6D73"/>
    <w:p w:rsidR="00CA6D73" w:rsidRPr="00B4318B" w:rsidRDefault="00B4318B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3. </w:t>
      </w:r>
      <w:r w:rsidR="00CA6D73" w:rsidRPr="00B4318B">
        <w:rPr>
          <w:rFonts w:cs="Arial"/>
          <w:b/>
          <w:bCs/>
          <w:i/>
          <w:iCs/>
          <w:sz w:val="28"/>
          <w:szCs w:val="28"/>
        </w:rPr>
        <w:t>Background</w:t>
      </w:r>
    </w:p>
    <w:p w:rsidR="00B4318B" w:rsidRDefault="00B4318B" w:rsidP="00CA6D73"/>
    <w:p w:rsidR="00CA6D73" w:rsidRDefault="00B4318B" w:rsidP="00CA6D73">
      <w:pPr>
        <w:rPr>
          <w:sz w:val="22"/>
        </w:rPr>
      </w:pPr>
      <w:r w:rsidRPr="00ED0324">
        <w:rPr>
          <w:sz w:val="22"/>
        </w:rPr>
        <w:t>3.1</w:t>
      </w:r>
      <w:r w:rsidRPr="00ED0324">
        <w:rPr>
          <w:sz w:val="22"/>
        </w:rPr>
        <w:tab/>
      </w:r>
      <w:r w:rsidR="00ED0324" w:rsidRPr="00ED0324">
        <w:rPr>
          <w:sz w:val="22"/>
        </w:rPr>
        <w:t xml:space="preserve">The London Employability Performance Rating system was implemented in April </w:t>
      </w:r>
      <w:r w:rsidR="00ED0324">
        <w:rPr>
          <w:sz w:val="22"/>
        </w:rPr>
        <w:tab/>
      </w:r>
      <w:r w:rsidR="00ED0324" w:rsidRPr="00ED0324">
        <w:rPr>
          <w:sz w:val="22"/>
        </w:rPr>
        <w:t xml:space="preserve">2010 as a comprehensive tool to benchmark the achievements of employability in </w:t>
      </w:r>
      <w:r w:rsidR="00ED0324">
        <w:rPr>
          <w:sz w:val="22"/>
        </w:rPr>
        <w:tab/>
      </w:r>
      <w:r w:rsidR="00ED0324" w:rsidRPr="00ED0324">
        <w:rPr>
          <w:sz w:val="22"/>
        </w:rPr>
        <w:t>London</w:t>
      </w:r>
      <w:r w:rsidR="00ED0324">
        <w:rPr>
          <w:sz w:val="22"/>
        </w:rPr>
        <w:t xml:space="preserve">. </w:t>
      </w:r>
    </w:p>
    <w:p w:rsidR="00414FEC" w:rsidRDefault="00B4698F" w:rsidP="00CA6D73">
      <w:pPr>
        <w:rPr>
          <w:sz w:val="22"/>
        </w:rPr>
      </w:pPr>
      <w:r>
        <w:rPr>
          <w:sz w:val="22"/>
        </w:rPr>
        <w:t>3.2</w:t>
      </w:r>
      <w:r>
        <w:rPr>
          <w:sz w:val="22"/>
        </w:rPr>
        <w:tab/>
        <w:t>The ESF 2014-20 programme now has</w:t>
      </w:r>
      <w:r w:rsidR="00ED0324">
        <w:rPr>
          <w:sz w:val="22"/>
        </w:rPr>
        <w:t xml:space="preserve"> more funders</w:t>
      </w:r>
      <w:r w:rsidR="00414FEC">
        <w:rPr>
          <w:sz w:val="22"/>
        </w:rPr>
        <w:t>, including</w:t>
      </w:r>
      <w:r w:rsidR="00414FEC" w:rsidRPr="00414FEC">
        <w:rPr>
          <w:sz w:val="22"/>
        </w:rPr>
        <w:t xml:space="preserve"> </w:t>
      </w:r>
      <w:r w:rsidR="00414FEC">
        <w:rPr>
          <w:sz w:val="22"/>
        </w:rPr>
        <w:t xml:space="preserve">the </w:t>
      </w:r>
      <w:r w:rsidR="00C56727">
        <w:rPr>
          <w:sz w:val="22"/>
        </w:rPr>
        <w:t>E</w:t>
      </w:r>
      <w:r w:rsidR="00414FEC">
        <w:rPr>
          <w:sz w:val="22"/>
        </w:rPr>
        <w:t xml:space="preserve">SFA, HMPSS, </w:t>
      </w:r>
      <w:r>
        <w:rPr>
          <w:sz w:val="22"/>
        </w:rPr>
        <w:tab/>
      </w:r>
      <w:r w:rsidR="00414FEC">
        <w:rPr>
          <w:sz w:val="22"/>
        </w:rPr>
        <w:t xml:space="preserve">Big Lottery, GLA and </w:t>
      </w:r>
      <w:r w:rsidR="00414FEC">
        <w:rPr>
          <w:sz w:val="22"/>
        </w:rPr>
        <w:tab/>
        <w:t>London Councils,</w:t>
      </w:r>
      <w:r>
        <w:rPr>
          <w:sz w:val="22"/>
        </w:rPr>
        <w:t xml:space="preserve"> all delivering employability projects to </w:t>
      </w:r>
      <w:r>
        <w:rPr>
          <w:sz w:val="22"/>
        </w:rPr>
        <w:tab/>
        <w:t>improve a range of Londoners all</w:t>
      </w:r>
      <w:r w:rsidR="00414FEC">
        <w:rPr>
          <w:sz w:val="22"/>
        </w:rPr>
        <w:t xml:space="preserve"> </w:t>
      </w:r>
      <w:r w:rsidR="00674995">
        <w:rPr>
          <w:sz w:val="22"/>
        </w:rPr>
        <w:t xml:space="preserve">completing the Employability Performance </w:t>
      </w:r>
      <w:r>
        <w:rPr>
          <w:sz w:val="22"/>
        </w:rPr>
        <w:tab/>
      </w:r>
      <w:r w:rsidR="00674995">
        <w:rPr>
          <w:sz w:val="22"/>
        </w:rPr>
        <w:t>Rating</w:t>
      </w:r>
      <w:r w:rsidR="00414FEC">
        <w:rPr>
          <w:sz w:val="22"/>
        </w:rPr>
        <w:t>.</w:t>
      </w:r>
      <w:r>
        <w:rPr>
          <w:sz w:val="22"/>
        </w:rPr>
        <w:t xml:space="preserve"> </w:t>
      </w:r>
    </w:p>
    <w:p w:rsidR="00BF4000" w:rsidRPr="00BF4000" w:rsidRDefault="00414FEC" w:rsidP="00BF4000">
      <w:pPr>
        <w:rPr>
          <w:sz w:val="22"/>
        </w:rPr>
      </w:pPr>
      <w:r>
        <w:rPr>
          <w:sz w:val="22"/>
        </w:rPr>
        <w:t>3.3</w:t>
      </w:r>
      <w:r>
        <w:rPr>
          <w:sz w:val="22"/>
        </w:rPr>
        <w:tab/>
      </w:r>
      <w:r w:rsidR="00BF4000" w:rsidRPr="00BF4000">
        <w:rPr>
          <w:sz w:val="22"/>
        </w:rPr>
        <w:t>The Star Rating is calculated from the asse</w:t>
      </w:r>
      <w:r w:rsidR="004B2136">
        <w:rPr>
          <w:sz w:val="22"/>
        </w:rPr>
        <w:t xml:space="preserve">ssment of performance in three </w:t>
      </w:r>
      <w:proofErr w:type="gramStart"/>
      <w:r w:rsidR="004B2136">
        <w:rPr>
          <w:sz w:val="22"/>
        </w:rPr>
        <w:t>k</w:t>
      </w:r>
      <w:r w:rsidR="00BF4000" w:rsidRPr="00BF4000">
        <w:rPr>
          <w:sz w:val="22"/>
        </w:rPr>
        <w:t>ey</w:t>
      </w:r>
      <w:proofErr w:type="gramEnd"/>
      <w:r w:rsidR="00BF4000" w:rsidRPr="00BF4000">
        <w:rPr>
          <w:sz w:val="22"/>
        </w:rPr>
        <w:t xml:space="preserve"> </w:t>
      </w:r>
      <w:r w:rsidR="00BF4000">
        <w:rPr>
          <w:sz w:val="22"/>
        </w:rPr>
        <w:tab/>
      </w:r>
      <w:r w:rsidR="004B2136">
        <w:rPr>
          <w:sz w:val="22"/>
        </w:rPr>
        <w:t>performance a</w:t>
      </w:r>
      <w:r w:rsidR="00BF4000" w:rsidRPr="00BF4000">
        <w:rPr>
          <w:sz w:val="22"/>
        </w:rPr>
        <w:t xml:space="preserve">reas. Grant Performance, Quality and Grant Compliance. </w:t>
      </w:r>
    </w:p>
    <w:p w:rsidR="00EF0BE5" w:rsidRDefault="00F556AE" w:rsidP="00BF4000">
      <w:pPr>
        <w:rPr>
          <w:sz w:val="22"/>
        </w:rPr>
      </w:pPr>
      <w:r>
        <w:rPr>
          <w:sz w:val="22"/>
        </w:rPr>
        <w:lastRenderedPageBreak/>
        <w:t>3.4</w:t>
      </w:r>
      <w:r>
        <w:rPr>
          <w:sz w:val="22"/>
        </w:rPr>
        <w:tab/>
        <w:t>T</w:t>
      </w:r>
      <w:r w:rsidR="00BF4000">
        <w:rPr>
          <w:sz w:val="22"/>
        </w:rPr>
        <w:t>he EPR s</w:t>
      </w:r>
      <w:r w:rsidR="00EA6AFD" w:rsidRPr="00BF4000">
        <w:rPr>
          <w:sz w:val="22"/>
        </w:rPr>
        <w:t xml:space="preserve">upports the GLA’s objective to benchmark the achievements of providers </w:t>
      </w:r>
      <w:r w:rsidR="00BF4000">
        <w:rPr>
          <w:sz w:val="22"/>
        </w:rPr>
        <w:tab/>
      </w:r>
      <w:r w:rsidR="00EA6AFD" w:rsidRPr="00BF4000">
        <w:rPr>
          <w:sz w:val="22"/>
        </w:rPr>
        <w:t>and our commitment to transparency and openness.</w:t>
      </w:r>
    </w:p>
    <w:p w:rsidR="00BF4000" w:rsidRDefault="00F556AE" w:rsidP="00BF4000">
      <w:pPr>
        <w:rPr>
          <w:sz w:val="22"/>
        </w:rPr>
      </w:pPr>
      <w:r>
        <w:rPr>
          <w:sz w:val="22"/>
        </w:rPr>
        <w:t>3.5</w:t>
      </w:r>
      <w:r>
        <w:rPr>
          <w:sz w:val="22"/>
        </w:rPr>
        <w:tab/>
        <w:t>T</w:t>
      </w:r>
      <w:r w:rsidR="004B2136">
        <w:rPr>
          <w:sz w:val="22"/>
        </w:rPr>
        <w:t>he calculator</w:t>
      </w:r>
      <w:r w:rsidR="00D777A7">
        <w:rPr>
          <w:sz w:val="22"/>
        </w:rPr>
        <w:t xml:space="preserve"> was created in 2008 and </w:t>
      </w:r>
      <w:r w:rsidR="00BF4000" w:rsidRPr="00BF4000">
        <w:rPr>
          <w:sz w:val="22"/>
        </w:rPr>
        <w:t xml:space="preserve">it was updated in 2015 to make it more user </w:t>
      </w:r>
      <w:r w:rsidR="004B2136">
        <w:rPr>
          <w:sz w:val="22"/>
        </w:rPr>
        <w:tab/>
      </w:r>
      <w:r w:rsidR="00BF4000" w:rsidRPr="00BF4000">
        <w:rPr>
          <w:sz w:val="22"/>
        </w:rPr>
        <w:t>friendly but</w:t>
      </w:r>
      <w:r w:rsidR="004B2136">
        <w:rPr>
          <w:sz w:val="22"/>
        </w:rPr>
        <w:t xml:space="preserve"> </w:t>
      </w:r>
      <w:r w:rsidR="00BF4000" w:rsidRPr="00BF4000">
        <w:rPr>
          <w:sz w:val="22"/>
        </w:rPr>
        <w:t>essentially it is the same.</w:t>
      </w:r>
    </w:p>
    <w:p w:rsidR="00B8276F" w:rsidRDefault="00B8276F" w:rsidP="00BF4000">
      <w:pPr>
        <w:rPr>
          <w:sz w:val="22"/>
        </w:rPr>
      </w:pPr>
      <w:r>
        <w:rPr>
          <w:sz w:val="22"/>
        </w:rPr>
        <w:t>3.6</w:t>
      </w:r>
      <w:r>
        <w:rPr>
          <w:sz w:val="22"/>
        </w:rPr>
        <w:tab/>
        <w:t xml:space="preserve">All projects delivering within the ESF 2014-20 programme are contractually required </w:t>
      </w:r>
      <w:r>
        <w:rPr>
          <w:sz w:val="22"/>
        </w:rPr>
        <w:tab/>
        <w:t>to complete the EPRC.</w:t>
      </w:r>
    </w:p>
    <w:p w:rsidR="004B2136" w:rsidRPr="00BF4000" w:rsidRDefault="004B2136" w:rsidP="00BF4000">
      <w:pPr>
        <w:rPr>
          <w:sz w:val="22"/>
        </w:rPr>
      </w:pPr>
      <w:r>
        <w:rPr>
          <w:sz w:val="22"/>
        </w:rPr>
        <w:t>3.7</w:t>
      </w:r>
      <w:r>
        <w:rPr>
          <w:sz w:val="22"/>
        </w:rPr>
        <w:tab/>
        <w:t xml:space="preserve">An increase in funding organisations using the EPRC also means a broader picture </w:t>
      </w:r>
      <w:r>
        <w:rPr>
          <w:sz w:val="22"/>
        </w:rPr>
        <w:tab/>
        <w:t>of how well employability projects are delivering in London is captured.</w:t>
      </w:r>
    </w:p>
    <w:p w:rsidR="002A5162" w:rsidRDefault="002A5162" w:rsidP="00CA6D73">
      <w:pPr>
        <w:rPr>
          <w:sz w:val="22"/>
        </w:rPr>
      </w:pPr>
    </w:p>
    <w:p w:rsidR="00CA6D73" w:rsidRDefault="002A5162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4. </w:t>
      </w:r>
      <w:r w:rsidR="00CA6D73" w:rsidRPr="002A5162">
        <w:rPr>
          <w:rFonts w:cs="Arial"/>
          <w:b/>
          <w:bCs/>
          <w:i/>
          <w:iCs/>
          <w:sz w:val="28"/>
          <w:szCs w:val="28"/>
        </w:rPr>
        <w:t>2016/17 EPR</w:t>
      </w:r>
    </w:p>
    <w:p w:rsidR="002A5162" w:rsidRDefault="002A5162" w:rsidP="00CA6D73">
      <w:pPr>
        <w:rPr>
          <w:rFonts w:cs="Arial"/>
          <w:b/>
          <w:bCs/>
          <w:i/>
          <w:iCs/>
          <w:sz w:val="28"/>
          <w:szCs w:val="28"/>
        </w:rPr>
      </w:pPr>
    </w:p>
    <w:p w:rsidR="00375684" w:rsidRDefault="002A5162" w:rsidP="00CA6D73">
      <w:pPr>
        <w:rPr>
          <w:sz w:val="22"/>
        </w:rPr>
      </w:pPr>
      <w:r w:rsidRPr="002A5162">
        <w:rPr>
          <w:sz w:val="22"/>
        </w:rPr>
        <w:t>4.1</w:t>
      </w:r>
      <w:r>
        <w:rPr>
          <w:sz w:val="22"/>
        </w:rPr>
        <w:t xml:space="preserve"> </w:t>
      </w:r>
      <w:r w:rsidR="00375684">
        <w:rPr>
          <w:sz w:val="22"/>
        </w:rPr>
        <w:tab/>
      </w:r>
      <w:r>
        <w:rPr>
          <w:sz w:val="22"/>
        </w:rPr>
        <w:t>The 2015/16 – 2016/17 London Employability Performance Rating</w:t>
      </w:r>
      <w:r w:rsidR="00375684">
        <w:rPr>
          <w:sz w:val="22"/>
        </w:rPr>
        <w:t xml:space="preserve"> provides data on </w:t>
      </w:r>
      <w:r w:rsidR="00375684">
        <w:rPr>
          <w:sz w:val="22"/>
        </w:rPr>
        <w:tab/>
        <w:t xml:space="preserve">performance of 2014-20 ESF projects from April 2015 – March 2017 for 36 lead </w:t>
      </w:r>
      <w:r w:rsidR="00375684">
        <w:rPr>
          <w:sz w:val="22"/>
        </w:rPr>
        <w:tab/>
        <w:t xml:space="preserve">providers and 21 sub providers. </w:t>
      </w:r>
    </w:p>
    <w:p w:rsidR="002A5162" w:rsidRDefault="00375684" w:rsidP="00CA6D73">
      <w:pPr>
        <w:rPr>
          <w:sz w:val="22"/>
        </w:rPr>
      </w:pPr>
      <w:r>
        <w:rPr>
          <w:sz w:val="22"/>
        </w:rPr>
        <w:t xml:space="preserve">4.2 </w:t>
      </w:r>
      <w:r>
        <w:rPr>
          <w:sz w:val="22"/>
        </w:rPr>
        <w:tab/>
        <w:t>During this time 20,175 Londoners have s</w:t>
      </w:r>
      <w:r w:rsidR="001609C1">
        <w:rPr>
          <w:sz w:val="22"/>
        </w:rPr>
        <w:t>tarted on a ESF funded project in the 2014</w:t>
      </w:r>
      <w:r w:rsidR="001609C1">
        <w:rPr>
          <w:sz w:val="22"/>
        </w:rPr>
        <w:tab/>
        <w:t xml:space="preserve">-20 programme. </w:t>
      </w:r>
    </w:p>
    <w:p w:rsidR="00CA6D73" w:rsidRDefault="00103AC8" w:rsidP="00CA6D73">
      <w:pPr>
        <w:rPr>
          <w:sz w:val="22"/>
        </w:rPr>
      </w:pPr>
      <w:r>
        <w:rPr>
          <w:sz w:val="22"/>
        </w:rPr>
        <w:t>4.3</w:t>
      </w:r>
      <w:r>
        <w:rPr>
          <w:sz w:val="22"/>
        </w:rPr>
        <w:tab/>
      </w:r>
      <w:r w:rsidR="00B4360F">
        <w:rPr>
          <w:sz w:val="22"/>
        </w:rPr>
        <w:t>Bexley has been identified as the area where most of the projects are based with</w:t>
      </w:r>
      <w:r w:rsidR="00B4360F">
        <w:rPr>
          <w:sz w:val="22"/>
        </w:rPr>
        <w:tab/>
        <w:t xml:space="preserve"> </w:t>
      </w:r>
      <w:r w:rsidR="00B4360F">
        <w:rPr>
          <w:sz w:val="22"/>
        </w:rPr>
        <w:tab/>
        <w:t>Sutton, Bromley and Sutton being second. 21 of the projects are Pan London.</w:t>
      </w:r>
    </w:p>
    <w:p w:rsidR="00831E1A" w:rsidRPr="00ED0324" w:rsidRDefault="00831E1A" w:rsidP="00CA6D73">
      <w:pPr>
        <w:rPr>
          <w:sz w:val="22"/>
        </w:rPr>
      </w:pPr>
      <w:r>
        <w:rPr>
          <w:sz w:val="22"/>
        </w:rPr>
        <w:t>4.4</w:t>
      </w:r>
      <w:r>
        <w:rPr>
          <w:sz w:val="22"/>
        </w:rPr>
        <w:tab/>
        <w:t>46 of the 96 submissions had achieved a score of over 8.4 on their diversity targets.</w:t>
      </w:r>
    </w:p>
    <w:p w:rsidR="00B4318B" w:rsidRPr="00ED0324" w:rsidRDefault="00B4318B" w:rsidP="00CA6D73">
      <w:pPr>
        <w:rPr>
          <w:sz w:val="22"/>
        </w:rPr>
      </w:pPr>
    </w:p>
    <w:p w:rsidR="00CA6D73" w:rsidRDefault="00090F0A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5. </w:t>
      </w:r>
      <w:r w:rsidR="004675A9">
        <w:rPr>
          <w:rFonts w:cs="Arial"/>
          <w:b/>
          <w:bCs/>
          <w:i/>
          <w:iCs/>
          <w:sz w:val="28"/>
          <w:szCs w:val="28"/>
        </w:rPr>
        <w:t>From 2015/16</w:t>
      </w:r>
    </w:p>
    <w:p w:rsidR="00872DB0" w:rsidRDefault="00872DB0" w:rsidP="00CA6D73">
      <w:pPr>
        <w:rPr>
          <w:rFonts w:cs="Arial"/>
          <w:b/>
          <w:bCs/>
          <w:i/>
          <w:iCs/>
          <w:sz w:val="28"/>
          <w:szCs w:val="28"/>
        </w:rPr>
      </w:pPr>
    </w:p>
    <w:p w:rsidR="00872DB0" w:rsidRPr="00872DB0" w:rsidRDefault="00872DB0" w:rsidP="00CA6D73">
      <w:pPr>
        <w:rPr>
          <w:sz w:val="22"/>
        </w:rPr>
      </w:pPr>
      <w:r w:rsidRPr="00872DB0">
        <w:rPr>
          <w:sz w:val="22"/>
        </w:rPr>
        <w:t>5.1</w:t>
      </w:r>
      <w:r>
        <w:rPr>
          <w:sz w:val="22"/>
        </w:rPr>
        <w:tab/>
      </w:r>
      <w:r w:rsidR="00ED4283">
        <w:rPr>
          <w:sz w:val="22"/>
        </w:rPr>
        <w:t>O</w:t>
      </w:r>
      <w:r w:rsidR="004675A9">
        <w:rPr>
          <w:sz w:val="22"/>
        </w:rPr>
        <w:t>nly five submissions</w:t>
      </w:r>
      <w:r w:rsidR="004B2136">
        <w:rPr>
          <w:sz w:val="22"/>
        </w:rPr>
        <w:t>, from HMPPS and City of London,</w:t>
      </w:r>
      <w:r w:rsidR="004675A9">
        <w:rPr>
          <w:sz w:val="22"/>
        </w:rPr>
        <w:t xml:space="preserve"> were made for the 2015/16</w:t>
      </w:r>
      <w:r w:rsidR="00ED4283">
        <w:rPr>
          <w:sz w:val="22"/>
        </w:rPr>
        <w:t xml:space="preserve"> </w:t>
      </w:r>
      <w:r w:rsidR="004B2136">
        <w:rPr>
          <w:sz w:val="22"/>
        </w:rPr>
        <w:tab/>
      </w:r>
      <w:r w:rsidR="00ED4283">
        <w:rPr>
          <w:sz w:val="22"/>
        </w:rPr>
        <w:t>year. Many projects were not into</w:t>
      </w:r>
      <w:r w:rsidR="004B2136">
        <w:rPr>
          <w:sz w:val="22"/>
        </w:rPr>
        <w:t xml:space="preserve"> </w:t>
      </w:r>
      <w:r w:rsidR="00ED4283">
        <w:rPr>
          <w:sz w:val="22"/>
        </w:rPr>
        <w:t xml:space="preserve">grant by this stage and therefore had not been </w:t>
      </w:r>
      <w:r w:rsidR="004B2136">
        <w:rPr>
          <w:sz w:val="22"/>
        </w:rPr>
        <w:tab/>
      </w:r>
      <w:r w:rsidR="00ED4283">
        <w:rPr>
          <w:sz w:val="22"/>
        </w:rPr>
        <w:t>able</w:t>
      </w:r>
      <w:r w:rsidR="004B2136">
        <w:rPr>
          <w:sz w:val="22"/>
        </w:rPr>
        <w:t xml:space="preserve"> to provide any information on </w:t>
      </w:r>
      <w:r w:rsidR="00ED4283">
        <w:rPr>
          <w:sz w:val="22"/>
        </w:rPr>
        <w:t>their delivery progress.</w:t>
      </w:r>
    </w:p>
    <w:p w:rsidR="00CA6D73" w:rsidRDefault="00CA6D73" w:rsidP="00CA6D73"/>
    <w:p w:rsidR="00CA6D73" w:rsidRPr="001955F6" w:rsidRDefault="001955F6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6. </w:t>
      </w:r>
      <w:r w:rsidR="00CA6D73" w:rsidRPr="001955F6">
        <w:rPr>
          <w:rFonts w:cs="Arial"/>
          <w:b/>
          <w:bCs/>
          <w:i/>
          <w:iCs/>
          <w:sz w:val="28"/>
          <w:szCs w:val="28"/>
        </w:rPr>
        <w:t xml:space="preserve">Customer </w:t>
      </w:r>
      <w:r w:rsidR="00872DB0">
        <w:rPr>
          <w:rFonts w:cs="Arial"/>
          <w:b/>
          <w:bCs/>
          <w:i/>
          <w:iCs/>
          <w:sz w:val="28"/>
          <w:szCs w:val="28"/>
        </w:rPr>
        <w:t>S</w:t>
      </w:r>
      <w:r w:rsidR="00CA6D73" w:rsidRPr="001955F6">
        <w:rPr>
          <w:rFonts w:cs="Arial"/>
          <w:b/>
          <w:bCs/>
          <w:i/>
          <w:iCs/>
          <w:sz w:val="28"/>
          <w:szCs w:val="28"/>
        </w:rPr>
        <w:t>atisfaction</w:t>
      </w:r>
    </w:p>
    <w:p w:rsidR="00545D49" w:rsidRDefault="00545D49" w:rsidP="00CA6D73"/>
    <w:p w:rsidR="00545D49" w:rsidRPr="001955F6" w:rsidRDefault="00545D49" w:rsidP="00CA6D73">
      <w:pPr>
        <w:rPr>
          <w:sz w:val="22"/>
        </w:rPr>
      </w:pPr>
      <w:r w:rsidRPr="001955F6">
        <w:rPr>
          <w:sz w:val="22"/>
        </w:rPr>
        <w:t>6.1</w:t>
      </w:r>
      <w:r w:rsidRPr="001955F6">
        <w:rPr>
          <w:sz w:val="22"/>
        </w:rPr>
        <w:tab/>
      </w:r>
      <w:r w:rsidR="00C720A0" w:rsidRPr="001955F6">
        <w:rPr>
          <w:sz w:val="22"/>
        </w:rPr>
        <w:t xml:space="preserve">Customer satisfaction was particularly low this year due to projects being </w:t>
      </w:r>
      <w:r w:rsidR="00E44A72" w:rsidRPr="001955F6">
        <w:rPr>
          <w:sz w:val="22"/>
        </w:rPr>
        <w:tab/>
      </w:r>
      <w:r w:rsidR="00C720A0" w:rsidRPr="001955F6">
        <w:rPr>
          <w:sz w:val="22"/>
        </w:rPr>
        <w:t xml:space="preserve">unsuccessful in implementing their </w:t>
      </w:r>
      <w:r w:rsidR="00E44A72" w:rsidRPr="001955F6">
        <w:rPr>
          <w:sz w:val="22"/>
        </w:rPr>
        <w:t>surveys i</w:t>
      </w:r>
      <w:r w:rsidR="0076596E">
        <w:rPr>
          <w:sz w:val="22"/>
        </w:rPr>
        <w:t xml:space="preserve">nto the exit strategy of their </w:t>
      </w:r>
      <w:r w:rsidR="00E44A72" w:rsidRPr="001955F6">
        <w:rPr>
          <w:sz w:val="22"/>
        </w:rPr>
        <w:t>project</w:t>
      </w:r>
      <w:r w:rsidR="001B43FC">
        <w:rPr>
          <w:sz w:val="22"/>
        </w:rPr>
        <w:t>s</w:t>
      </w:r>
      <w:r w:rsidR="00E44A72" w:rsidRPr="001955F6">
        <w:rPr>
          <w:sz w:val="22"/>
        </w:rPr>
        <w:t xml:space="preserve">. </w:t>
      </w:r>
    </w:p>
    <w:p w:rsidR="001955F6" w:rsidRDefault="00E44A72" w:rsidP="00CA6D73">
      <w:pPr>
        <w:rPr>
          <w:sz w:val="22"/>
        </w:rPr>
      </w:pPr>
      <w:r w:rsidRPr="001955F6">
        <w:rPr>
          <w:sz w:val="22"/>
        </w:rPr>
        <w:t xml:space="preserve">6.2 </w:t>
      </w:r>
      <w:r w:rsidRPr="001955F6">
        <w:rPr>
          <w:sz w:val="22"/>
        </w:rPr>
        <w:tab/>
        <w:t>Some submissions were given a</w:t>
      </w:r>
      <w:r w:rsidR="006D1CE1" w:rsidRPr="001955F6">
        <w:rPr>
          <w:sz w:val="22"/>
        </w:rPr>
        <w:t xml:space="preserve"> high one-</w:t>
      </w:r>
      <w:r w:rsidRPr="001955F6">
        <w:rPr>
          <w:sz w:val="22"/>
        </w:rPr>
        <w:t xml:space="preserve">star or a high </w:t>
      </w:r>
      <w:r w:rsidR="006D1CE1" w:rsidRPr="001955F6">
        <w:rPr>
          <w:sz w:val="22"/>
        </w:rPr>
        <w:t>two-star</w:t>
      </w:r>
      <w:r w:rsidR="005877DB">
        <w:rPr>
          <w:sz w:val="22"/>
        </w:rPr>
        <w:t xml:space="preserve"> rating and if </w:t>
      </w:r>
      <w:r w:rsidR="005877DB">
        <w:rPr>
          <w:sz w:val="22"/>
        </w:rPr>
        <w:tab/>
        <w:t>they had</w:t>
      </w:r>
      <w:r w:rsidRPr="001955F6">
        <w:rPr>
          <w:sz w:val="22"/>
        </w:rPr>
        <w:t xml:space="preserve"> completed their customer satisfaction – this</w:t>
      </w:r>
      <w:r w:rsidR="004B2136">
        <w:rPr>
          <w:sz w:val="22"/>
        </w:rPr>
        <w:t xml:space="preserve"> potentially</w:t>
      </w:r>
      <w:r w:rsidRPr="001955F6">
        <w:rPr>
          <w:sz w:val="22"/>
        </w:rPr>
        <w:t xml:space="preserve"> </w:t>
      </w:r>
      <w:r w:rsidR="001955F6" w:rsidRPr="001955F6">
        <w:rPr>
          <w:sz w:val="22"/>
        </w:rPr>
        <w:t xml:space="preserve">would have </w:t>
      </w:r>
      <w:r w:rsidR="004B2136">
        <w:rPr>
          <w:sz w:val="22"/>
        </w:rPr>
        <w:tab/>
        <w:t xml:space="preserve">advanced </w:t>
      </w:r>
      <w:r w:rsidRPr="001955F6">
        <w:rPr>
          <w:sz w:val="22"/>
        </w:rPr>
        <w:t>them onto the next rating.</w:t>
      </w:r>
      <w:r w:rsidR="001955F6">
        <w:rPr>
          <w:sz w:val="22"/>
        </w:rPr>
        <w:t xml:space="preserve"> </w:t>
      </w:r>
    </w:p>
    <w:p w:rsidR="00872DB0" w:rsidRPr="001955F6" w:rsidRDefault="00872DB0" w:rsidP="00CA6D73">
      <w:pPr>
        <w:rPr>
          <w:sz w:val="22"/>
        </w:rPr>
      </w:pPr>
      <w:r>
        <w:rPr>
          <w:sz w:val="22"/>
        </w:rPr>
        <w:t>6.3</w:t>
      </w:r>
      <w:r>
        <w:rPr>
          <w:sz w:val="22"/>
        </w:rPr>
        <w:tab/>
      </w:r>
      <w:r w:rsidR="0076596E">
        <w:rPr>
          <w:sz w:val="22"/>
        </w:rPr>
        <w:t>Delivery partners are instructed to</w:t>
      </w:r>
      <w:r>
        <w:rPr>
          <w:sz w:val="22"/>
        </w:rPr>
        <w:t xml:space="preserve"> implement the questionnaire as part of the exit </w:t>
      </w:r>
      <w:r w:rsidR="0076596E">
        <w:rPr>
          <w:sz w:val="22"/>
        </w:rPr>
        <w:tab/>
      </w:r>
      <w:r>
        <w:rPr>
          <w:sz w:val="22"/>
        </w:rPr>
        <w:t>strategy to make sure the</w:t>
      </w:r>
      <w:r w:rsidR="004675A9">
        <w:rPr>
          <w:sz w:val="22"/>
        </w:rPr>
        <w:t xml:space="preserve">y </w:t>
      </w:r>
      <w:r w:rsidR="00ED4283">
        <w:rPr>
          <w:sz w:val="22"/>
        </w:rPr>
        <w:t>receive</w:t>
      </w:r>
      <w:r>
        <w:rPr>
          <w:sz w:val="22"/>
        </w:rPr>
        <w:t xml:space="preserve"> points for this KPA.  </w:t>
      </w:r>
    </w:p>
    <w:p w:rsidR="00CA6D73" w:rsidRDefault="00545D49" w:rsidP="00CA6D73">
      <w:r>
        <w:tab/>
      </w:r>
    </w:p>
    <w:p w:rsidR="00CA6D73" w:rsidRDefault="007A3496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 xml:space="preserve">7. </w:t>
      </w:r>
      <w:r w:rsidR="00CA6D73" w:rsidRPr="007A3496">
        <w:rPr>
          <w:rFonts w:cs="Arial"/>
          <w:b/>
          <w:bCs/>
          <w:i/>
          <w:iCs/>
          <w:sz w:val="28"/>
          <w:szCs w:val="28"/>
        </w:rPr>
        <w:t>Conversion Rating</w:t>
      </w:r>
    </w:p>
    <w:p w:rsidR="007A3496" w:rsidRDefault="007A3496" w:rsidP="00CA6D73">
      <w:pPr>
        <w:rPr>
          <w:rFonts w:cs="Arial"/>
          <w:bCs/>
          <w:iCs/>
          <w:sz w:val="22"/>
          <w:szCs w:val="28"/>
        </w:rPr>
      </w:pPr>
    </w:p>
    <w:p w:rsidR="007A3496" w:rsidRPr="007A3496" w:rsidRDefault="00B316C5" w:rsidP="004E2228">
      <w:pPr>
        <w:jc w:val="both"/>
        <w:rPr>
          <w:rFonts w:cs="Arial"/>
          <w:bCs/>
          <w:iCs/>
          <w:sz w:val="22"/>
          <w:szCs w:val="28"/>
        </w:rPr>
      </w:pPr>
      <w:r>
        <w:rPr>
          <w:rFonts w:cs="Arial"/>
          <w:bCs/>
          <w:iCs/>
          <w:sz w:val="22"/>
          <w:szCs w:val="28"/>
        </w:rPr>
        <w:t>7.1</w:t>
      </w:r>
      <w:r>
        <w:rPr>
          <w:rFonts w:cs="Arial"/>
          <w:bCs/>
          <w:iCs/>
          <w:sz w:val="22"/>
          <w:szCs w:val="28"/>
        </w:rPr>
        <w:tab/>
      </w:r>
      <w:proofErr w:type="gramStart"/>
      <w:r w:rsidR="0039437A">
        <w:rPr>
          <w:rFonts w:cs="Arial"/>
          <w:bCs/>
          <w:iCs/>
          <w:sz w:val="22"/>
          <w:szCs w:val="28"/>
        </w:rPr>
        <w:t>In order to</w:t>
      </w:r>
      <w:proofErr w:type="gramEnd"/>
      <w:r w:rsidR="0039437A">
        <w:rPr>
          <w:rFonts w:cs="Arial"/>
          <w:bCs/>
          <w:iCs/>
          <w:sz w:val="22"/>
          <w:szCs w:val="28"/>
        </w:rPr>
        <w:t xml:space="preserve"> receive a</w:t>
      </w:r>
      <w:r w:rsidR="00A15892">
        <w:rPr>
          <w:rFonts w:cs="Arial"/>
          <w:bCs/>
          <w:iCs/>
          <w:sz w:val="22"/>
          <w:szCs w:val="28"/>
        </w:rPr>
        <w:t xml:space="preserve"> conversion rating, the project </w:t>
      </w:r>
      <w:r w:rsidR="00F556AE">
        <w:rPr>
          <w:rFonts w:cs="Arial"/>
          <w:bCs/>
          <w:iCs/>
          <w:sz w:val="22"/>
          <w:szCs w:val="28"/>
        </w:rPr>
        <w:t>must</w:t>
      </w:r>
      <w:r w:rsidR="00A15892">
        <w:rPr>
          <w:rFonts w:cs="Arial"/>
          <w:bCs/>
          <w:iCs/>
          <w:sz w:val="22"/>
          <w:szCs w:val="28"/>
        </w:rPr>
        <w:t xml:space="preserve"> be achieving a higher than </w:t>
      </w:r>
      <w:r w:rsidR="00A15892">
        <w:rPr>
          <w:rFonts w:cs="Arial"/>
          <w:bCs/>
          <w:iCs/>
          <w:sz w:val="22"/>
          <w:szCs w:val="28"/>
        </w:rPr>
        <w:tab/>
        <w:t>contracted conversion rate of starts into the primary contract outcome</w:t>
      </w:r>
      <w:r>
        <w:rPr>
          <w:rFonts w:cs="Arial"/>
          <w:bCs/>
          <w:iCs/>
          <w:sz w:val="22"/>
          <w:szCs w:val="28"/>
        </w:rPr>
        <w:t>.</w:t>
      </w:r>
      <w:r w:rsidR="00A15892">
        <w:rPr>
          <w:rFonts w:cs="Arial"/>
          <w:bCs/>
          <w:iCs/>
          <w:sz w:val="22"/>
          <w:szCs w:val="28"/>
        </w:rPr>
        <w:t xml:space="preserve"> Delivery was </w:t>
      </w:r>
      <w:r w:rsidR="00A15892">
        <w:rPr>
          <w:rFonts w:cs="Arial"/>
          <w:bCs/>
          <w:iCs/>
          <w:sz w:val="22"/>
          <w:szCs w:val="28"/>
        </w:rPr>
        <w:tab/>
        <w:t>delayed due to a lack of contracts being complete</w:t>
      </w:r>
      <w:r w:rsidR="006E4686">
        <w:rPr>
          <w:rFonts w:cs="Arial"/>
          <w:bCs/>
          <w:iCs/>
          <w:sz w:val="22"/>
          <w:szCs w:val="28"/>
        </w:rPr>
        <w:t xml:space="preserve">d in time and so projects were </w:t>
      </w:r>
      <w:r w:rsidR="006E4686">
        <w:rPr>
          <w:rFonts w:cs="Arial"/>
          <w:bCs/>
          <w:iCs/>
          <w:sz w:val="22"/>
          <w:szCs w:val="28"/>
        </w:rPr>
        <w:tab/>
        <w:t>setback</w:t>
      </w:r>
      <w:r w:rsidR="00A15892">
        <w:rPr>
          <w:rFonts w:cs="Arial"/>
          <w:bCs/>
          <w:iCs/>
          <w:sz w:val="22"/>
          <w:szCs w:val="28"/>
        </w:rPr>
        <w:t xml:space="preserve">. </w:t>
      </w:r>
      <w:r w:rsidR="004E2228">
        <w:rPr>
          <w:rFonts w:cs="Arial"/>
          <w:bCs/>
          <w:iCs/>
          <w:sz w:val="22"/>
          <w:szCs w:val="28"/>
        </w:rPr>
        <w:t xml:space="preserve">This </w:t>
      </w:r>
      <w:r w:rsidR="006E4686">
        <w:rPr>
          <w:rFonts w:cs="Arial"/>
          <w:bCs/>
          <w:iCs/>
          <w:sz w:val="22"/>
          <w:szCs w:val="28"/>
        </w:rPr>
        <w:t>meant tha</w:t>
      </w:r>
      <w:r w:rsidR="004E2228">
        <w:rPr>
          <w:rFonts w:cs="Arial"/>
          <w:bCs/>
          <w:iCs/>
          <w:sz w:val="22"/>
          <w:szCs w:val="28"/>
        </w:rPr>
        <w:t xml:space="preserve">t recruitment had to be postponed until this was finally </w:t>
      </w:r>
      <w:r w:rsidR="004E2228">
        <w:rPr>
          <w:rFonts w:cs="Arial"/>
          <w:bCs/>
          <w:iCs/>
          <w:sz w:val="22"/>
          <w:szCs w:val="28"/>
        </w:rPr>
        <w:tab/>
        <w:t>confirmed.</w:t>
      </w:r>
      <w:r w:rsidR="006E4686">
        <w:rPr>
          <w:rFonts w:cs="Arial"/>
          <w:bCs/>
          <w:iCs/>
          <w:sz w:val="22"/>
          <w:szCs w:val="28"/>
        </w:rPr>
        <w:t xml:space="preserve"> </w:t>
      </w:r>
      <w:r w:rsidR="0027203A">
        <w:rPr>
          <w:rFonts w:cs="Arial"/>
          <w:bCs/>
          <w:iCs/>
          <w:sz w:val="22"/>
          <w:szCs w:val="28"/>
        </w:rPr>
        <w:t>As projects be</w:t>
      </w:r>
      <w:r w:rsidR="004E2228">
        <w:rPr>
          <w:rFonts w:cs="Arial"/>
          <w:bCs/>
          <w:iCs/>
          <w:sz w:val="22"/>
          <w:szCs w:val="28"/>
        </w:rPr>
        <w:t>g</w:t>
      </w:r>
      <w:r w:rsidR="0027203A">
        <w:rPr>
          <w:rFonts w:cs="Arial"/>
          <w:bCs/>
          <w:iCs/>
          <w:sz w:val="22"/>
          <w:szCs w:val="28"/>
        </w:rPr>
        <w:t>in</w:t>
      </w:r>
      <w:r w:rsidR="004E2228">
        <w:rPr>
          <w:rFonts w:cs="Arial"/>
          <w:bCs/>
          <w:iCs/>
          <w:sz w:val="22"/>
          <w:szCs w:val="28"/>
        </w:rPr>
        <w:t xml:space="preserve"> to develop and more starts move onto the next target </w:t>
      </w:r>
      <w:r w:rsidR="004E2228">
        <w:rPr>
          <w:rFonts w:cs="Arial"/>
          <w:bCs/>
          <w:iCs/>
          <w:sz w:val="22"/>
          <w:szCs w:val="28"/>
        </w:rPr>
        <w:tab/>
        <w:t>outcome, the points for the conversion rating should increase.</w:t>
      </w:r>
    </w:p>
    <w:p w:rsidR="00CA6D73" w:rsidRDefault="00CA6D73" w:rsidP="00CA6D73"/>
    <w:p w:rsidR="00CA6D73" w:rsidRDefault="00282413" w:rsidP="00CA6D73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br w:type="page"/>
      </w:r>
      <w:r w:rsidR="00456F19" w:rsidRPr="00456F19">
        <w:rPr>
          <w:rFonts w:cs="Arial"/>
          <w:b/>
          <w:bCs/>
          <w:i/>
          <w:iCs/>
          <w:sz w:val="28"/>
          <w:szCs w:val="28"/>
        </w:rPr>
        <w:lastRenderedPageBreak/>
        <w:t xml:space="preserve">8. </w:t>
      </w:r>
      <w:r w:rsidR="004E2228">
        <w:rPr>
          <w:rFonts w:cs="Arial"/>
          <w:b/>
          <w:bCs/>
          <w:i/>
          <w:iCs/>
          <w:sz w:val="28"/>
          <w:szCs w:val="28"/>
        </w:rPr>
        <w:t xml:space="preserve">Interpreting the rating </w:t>
      </w:r>
    </w:p>
    <w:tbl>
      <w:tblPr>
        <w:tblpPr w:leftFromText="180" w:rightFromText="180" w:vertAnchor="text" w:horzAnchor="margin" w:tblpY="715"/>
        <w:tblW w:w="760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53"/>
        <w:gridCol w:w="1249"/>
        <w:gridCol w:w="4207"/>
      </w:tblGrid>
      <w:tr w:rsidR="00282413" w:rsidRPr="00D65151" w:rsidTr="00330E51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000080"/>
              <w:right w:val="single" w:sz="6" w:space="0" w:color="FFFFFF" w:themeColor="background1"/>
            </w:tcBorders>
            <w:shd w:val="solid" w:color="009ACF" w:fill="009ACF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Key Performance Area (KPA)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solid" w:color="009ACF" w:fill="009ACF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Weighting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solid" w:color="009ACF" w:fill="009ACF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Indicators (KPI)</w:t>
            </w:r>
          </w:p>
        </w:tc>
      </w:tr>
      <w:tr w:rsidR="00282413" w:rsidRPr="00D65151" w:rsidTr="00330E51">
        <w:trPr>
          <w:trHeight w:val="585"/>
        </w:trPr>
        <w:tc>
          <w:tcPr>
            <w:tcW w:w="2153" w:type="dxa"/>
            <w:vMerge w:val="restart"/>
            <w:tcBorders>
              <w:top w:val="single" w:sz="6" w:space="0" w:color="000080"/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Contract Performance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60%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Delivery against grant targets</w:t>
            </w:r>
          </w:p>
        </w:tc>
      </w:tr>
      <w:tr w:rsidR="00282413" w:rsidRPr="00D65151" w:rsidTr="00330E51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Delivery against grant diversity targets</w:t>
            </w:r>
          </w:p>
        </w:tc>
      </w:tr>
      <w:tr w:rsidR="00282413" w:rsidRPr="00D65151" w:rsidTr="00330E51">
        <w:tc>
          <w:tcPr>
            <w:tcW w:w="215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Quality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</w:rPr>
            </w:pPr>
            <w:r w:rsidRPr="00D65151">
              <w:rPr>
                <w:rFonts w:asciiTheme="minorHAnsi" w:hAnsiTheme="minorHAnsi" w:cs="Arial"/>
                <w:bCs/>
              </w:rPr>
              <w:t>30%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Conversion Factor</w:t>
            </w:r>
          </w:p>
        </w:tc>
      </w:tr>
      <w:tr w:rsidR="00282413" w:rsidRPr="00D65151" w:rsidTr="00330E51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Self-</w:t>
            </w:r>
            <w:r w:rsidRPr="00D65151">
              <w:rPr>
                <w:rFonts w:asciiTheme="minorHAnsi" w:hAnsiTheme="minorHAnsi" w:cs="Arial"/>
                <w:bCs/>
              </w:rPr>
              <w:t>assessment of quality</w:t>
            </w:r>
          </w:p>
        </w:tc>
      </w:tr>
      <w:tr w:rsidR="00282413" w:rsidRPr="00D65151" w:rsidTr="00330E51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Customer Satisfaction</w:t>
            </w:r>
          </w:p>
        </w:tc>
      </w:tr>
      <w:tr w:rsidR="00282413" w:rsidRPr="00D65151" w:rsidTr="00330E51">
        <w:tc>
          <w:tcPr>
            <w:tcW w:w="2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7BE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Contract Compliance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10%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413" w:rsidRPr="00D65151" w:rsidRDefault="00282413" w:rsidP="00330E5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Contract compliance and contractor pro-activity in delivery</w:t>
            </w:r>
          </w:p>
        </w:tc>
      </w:tr>
    </w:tbl>
    <w:p w:rsidR="00330E51" w:rsidRDefault="00330E51" w:rsidP="00CA6D73">
      <w:pPr>
        <w:rPr>
          <w:rFonts w:cs="Arial"/>
          <w:bCs/>
          <w:iCs/>
          <w:sz w:val="22"/>
          <w:szCs w:val="28"/>
        </w:rPr>
      </w:pPr>
    </w:p>
    <w:p w:rsidR="004675A9" w:rsidRDefault="00330E51" w:rsidP="00CA6D73">
      <w:pPr>
        <w:rPr>
          <w:rFonts w:cs="Arial"/>
          <w:bCs/>
          <w:iCs/>
          <w:sz w:val="22"/>
          <w:szCs w:val="28"/>
        </w:rPr>
      </w:pPr>
      <w:r>
        <w:rPr>
          <w:rFonts w:cs="Arial"/>
          <w:bCs/>
          <w:iCs/>
          <w:sz w:val="22"/>
          <w:szCs w:val="28"/>
        </w:rPr>
        <w:t>Table1: Structure of the Employability Performance Rating System</w:t>
      </w: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4675A9" w:rsidRDefault="004675A9" w:rsidP="00CA6D73">
      <w:pPr>
        <w:rPr>
          <w:rFonts w:cs="Arial"/>
          <w:bCs/>
          <w:iCs/>
          <w:sz w:val="22"/>
          <w:szCs w:val="28"/>
        </w:rPr>
      </w:pPr>
    </w:p>
    <w:p w:rsidR="00330E51" w:rsidRDefault="00330E51" w:rsidP="00CA6D73">
      <w:pPr>
        <w:rPr>
          <w:rFonts w:cs="Arial"/>
          <w:bCs/>
          <w:iCs/>
          <w:sz w:val="22"/>
          <w:szCs w:val="28"/>
        </w:rPr>
      </w:pPr>
    </w:p>
    <w:p w:rsidR="006A6C95" w:rsidRPr="00B15D4A" w:rsidRDefault="006A6C95" w:rsidP="00CA6D73">
      <w:pPr>
        <w:rPr>
          <w:sz w:val="22"/>
        </w:rPr>
      </w:pPr>
      <w:r w:rsidRPr="00B15D4A">
        <w:rPr>
          <w:sz w:val="22"/>
        </w:rPr>
        <w:t>8.1</w:t>
      </w:r>
      <w:r w:rsidRPr="00B15D4A">
        <w:rPr>
          <w:sz w:val="22"/>
        </w:rPr>
        <w:tab/>
        <w:t xml:space="preserve">Performance data is assessed against annual targets that are agreed at the </w:t>
      </w:r>
      <w:r w:rsidRPr="00B15D4A">
        <w:rPr>
          <w:sz w:val="22"/>
        </w:rPr>
        <w:tab/>
        <w:t>beginning of each financial year.</w:t>
      </w:r>
    </w:p>
    <w:p w:rsidR="00B15D4A" w:rsidRPr="00B15D4A" w:rsidRDefault="006A6C95" w:rsidP="00B15D4A">
      <w:pPr>
        <w:rPr>
          <w:sz w:val="22"/>
        </w:rPr>
      </w:pPr>
      <w:r w:rsidRPr="00B15D4A">
        <w:rPr>
          <w:sz w:val="22"/>
        </w:rPr>
        <w:t>8.2</w:t>
      </w:r>
      <w:r w:rsidRPr="00B15D4A">
        <w:rPr>
          <w:sz w:val="22"/>
        </w:rPr>
        <w:tab/>
        <w:t xml:space="preserve">The table gives a good breakdown of each KPA within the calculator and how much </w:t>
      </w:r>
      <w:r w:rsidRPr="00B15D4A">
        <w:rPr>
          <w:sz w:val="22"/>
        </w:rPr>
        <w:tab/>
        <w:t>each is worth when receiving points.</w:t>
      </w:r>
      <w:r w:rsidR="0063418B" w:rsidRPr="00B15D4A">
        <w:rPr>
          <w:sz w:val="22"/>
        </w:rPr>
        <w:t xml:space="preserve"> </w:t>
      </w:r>
    </w:p>
    <w:p w:rsidR="003C376C" w:rsidRDefault="003C376C" w:rsidP="00B15D4A">
      <w:pPr>
        <w:rPr>
          <w:rFonts w:cs="Arial"/>
          <w:b/>
          <w:bCs/>
          <w:i/>
          <w:iCs/>
          <w:sz w:val="28"/>
          <w:szCs w:val="28"/>
        </w:rPr>
      </w:pPr>
    </w:p>
    <w:p w:rsidR="004E2228" w:rsidRDefault="004E2228" w:rsidP="00B15D4A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9. P</w:t>
      </w:r>
      <w:r w:rsidRPr="00456F19">
        <w:rPr>
          <w:rFonts w:cs="Arial"/>
          <w:b/>
          <w:bCs/>
          <w:i/>
          <w:iCs/>
          <w:sz w:val="28"/>
          <w:szCs w:val="28"/>
        </w:rPr>
        <w:t>ublished data.</w:t>
      </w:r>
    </w:p>
    <w:p w:rsidR="004E2228" w:rsidRDefault="004E2228" w:rsidP="00B15D4A">
      <w:pPr>
        <w:rPr>
          <w:sz w:val="22"/>
        </w:rPr>
      </w:pPr>
    </w:p>
    <w:p w:rsidR="00B15D4A" w:rsidRPr="00B15D4A" w:rsidRDefault="004E2228" w:rsidP="00B15D4A">
      <w:pPr>
        <w:rPr>
          <w:sz w:val="22"/>
        </w:rPr>
      </w:pPr>
      <w:r>
        <w:rPr>
          <w:sz w:val="22"/>
        </w:rPr>
        <w:t>9</w:t>
      </w:r>
      <w:r w:rsidR="0063418B" w:rsidRPr="00B15D4A">
        <w:rPr>
          <w:sz w:val="22"/>
        </w:rPr>
        <w:t>.</w:t>
      </w:r>
      <w:r>
        <w:rPr>
          <w:sz w:val="22"/>
        </w:rPr>
        <w:t>1</w:t>
      </w:r>
      <w:r w:rsidR="0063418B" w:rsidRPr="00B15D4A">
        <w:rPr>
          <w:sz w:val="22"/>
        </w:rPr>
        <w:tab/>
      </w:r>
      <w:r w:rsidR="00B15D4A" w:rsidRPr="00B15D4A">
        <w:rPr>
          <w:sz w:val="22"/>
        </w:rPr>
        <w:t xml:space="preserve">When sorted by grant name the Rating Table provides information on grant supply </w:t>
      </w:r>
      <w:r w:rsidR="00B15D4A" w:rsidRPr="00B15D4A">
        <w:rPr>
          <w:sz w:val="22"/>
        </w:rPr>
        <w:tab/>
        <w:t xml:space="preserve">chains; it indicates which delivery partner is the lead grant holder and the ratings of </w:t>
      </w:r>
      <w:r w:rsidR="00B15D4A" w:rsidRPr="00B15D4A">
        <w:rPr>
          <w:sz w:val="22"/>
        </w:rPr>
        <w:tab/>
        <w:t xml:space="preserve">each of the sub-delivery partners. </w:t>
      </w:r>
    </w:p>
    <w:p w:rsidR="006A6C95" w:rsidRPr="004E2228" w:rsidRDefault="004E2228" w:rsidP="004E2228">
      <w:pPr>
        <w:spacing w:after="120"/>
        <w:rPr>
          <w:sz w:val="22"/>
        </w:rPr>
      </w:pPr>
      <w:r>
        <w:rPr>
          <w:sz w:val="22"/>
        </w:rPr>
        <w:t>9</w:t>
      </w:r>
      <w:r w:rsidR="00B15D4A" w:rsidRPr="00B15D4A">
        <w:rPr>
          <w:sz w:val="22"/>
        </w:rPr>
        <w:t>.</w:t>
      </w:r>
      <w:r>
        <w:rPr>
          <w:sz w:val="22"/>
        </w:rPr>
        <w:t>2</w:t>
      </w:r>
      <w:r w:rsidR="00B15D4A" w:rsidRPr="00B15D4A">
        <w:rPr>
          <w:sz w:val="22"/>
        </w:rPr>
        <w:t xml:space="preserve"> </w:t>
      </w:r>
      <w:r w:rsidR="00B15D4A" w:rsidRPr="00B15D4A">
        <w:rPr>
          <w:sz w:val="22"/>
        </w:rPr>
        <w:tab/>
        <w:t xml:space="preserve">A number of delivery partners have received more than one rating; this may be </w:t>
      </w:r>
      <w:r w:rsidR="00B15D4A" w:rsidRPr="00B15D4A">
        <w:rPr>
          <w:sz w:val="22"/>
        </w:rPr>
        <w:tab/>
        <w:t xml:space="preserve">where they are delivering a number of different projects or where they have </w:t>
      </w:r>
      <w:r w:rsidR="00B15D4A" w:rsidRPr="00B15D4A">
        <w:rPr>
          <w:sz w:val="22"/>
        </w:rPr>
        <w:tab/>
        <w:t xml:space="preserve">received a rating for </w:t>
      </w:r>
      <w:r>
        <w:rPr>
          <w:sz w:val="22"/>
        </w:rPr>
        <w:t>more than one year’s delivery. T</w:t>
      </w:r>
      <w:r w:rsidR="00B15D4A" w:rsidRPr="00B15D4A">
        <w:rPr>
          <w:sz w:val="22"/>
        </w:rPr>
        <w:t xml:space="preserve">he Rating Table can be sorted </w:t>
      </w:r>
      <w:r w:rsidR="00B15D4A" w:rsidRPr="00B15D4A">
        <w:rPr>
          <w:sz w:val="22"/>
        </w:rPr>
        <w:tab/>
        <w:t>by delivery partner name.</w:t>
      </w:r>
    </w:p>
    <w:p w:rsidR="00CA6D73" w:rsidRDefault="00CA6D73" w:rsidP="00CA6D73"/>
    <w:p w:rsidR="00612E3C" w:rsidRDefault="00831E1A" w:rsidP="003C376C">
      <w:pPr>
        <w:jc w:val="center"/>
      </w:pPr>
      <w:r>
        <w:t>Chart 1: Rating Distribution from April 2015 to March 2017</w:t>
      </w:r>
    </w:p>
    <w:p w:rsidR="00831E1A" w:rsidRDefault="00612E3C" w:rsidP="003C376C">
      <w:pPr>
        <w:jc w:val="center"/>
      </w:pPr>
      <w:r>
        <w:rPr>
          <w:noProof/>
        </w:rPr>
        <w:drawing>
          <wp:inline distT="0" distB="0" distL="0" distR="0" wp14:anchorId="35BD648A" wp14:editId="0DF233AA">
            <wp:extent cx="4868883" cy="2458192"/>
            <wp:effectExtent l="0" t="0" r="8255" b="184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ACA316D-36B5-468D-9E27-752FEA759A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24FF" w:rsidRPr="00831E1A" w:rsidRDefault="003C24FF" w:rsidP="00831E1A"/>
    <w:sectPr w:rsidR="003C24FF" w:rsidRPr="00831E1A" w:rsidSect="00AF22A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0A" w:rsidRDefault="00090F0A" w:rsidP="00090F0A">
      <w:r>
        <w:separator/>
      </w:r>
    </w:p>
  </w:endnote>
  <w:endnote w:type="continuationSeparator" w:id="0">
    <w:p w:rsidR="00090F0A" w:rsidRDefault="00090F0A" w:rsidP="0009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51" w:rsidRPr="00330E51" w:rsidRDefault="00330E51" w:rsidP="00330E51">
    <w:pPr>
      <w:tabs>
        <w:tab w:val="center" w:pos="4513"/>
        <w:tab w:val="right" w:pos="9026"/>
      </w:tabs>
      <w:jc w:val="both"/>
      <w:rPr>
        <w:rFonts w:ascii="Calibri" w:eastAsiaTheme="minorHAnsi" w:hAnsi="Calibri"/>
        <w:color w:val="auto"/>
        <w:sz w:val="22"/>
        <w:szCs w:val="22"/>
        <w:lang w:eastAsia="en-US"/>
      </w:rPr>
    </w:pPr>
    <w:r w:rsidRPr="00330E51">
      <w:rPr>
        <w:rFonts w:ascii="Calibri" w:eastAsiaTheme="minorHAnsi" w:hAnsi="Calibri"/>
        <w:noProof/>
        <w:color w:val="auto"/>
        <w:sz w:val="22"/>
        <w:szCs w:val="22"/>
      </w:rPr>
      <w:t xml:space="preserve">                                                                       </w:t>
    </w:r>
    <w:r w:rsidRPr="00330E51">
      <w:rPr>
        <w:rFonts w:ascii="Calibri" w:eastAsiaTheme="minorHAnsi" w:hAnsi="Calibri" w:cs="Arial"/>
        <w:noProof/>
        <w:color w:val="auto"/>
        <w:sz w:val="22"/>
        <w:szCs w:val="22"/>
      </w:rPr>
      <w:drawing>
        <wp:inline distT="0" distB="0" distL="0" distR="0" wp14:anchorId="369126E6" wp14:editId="798E0697">
          <wp:extent cx="2533650" cy="4710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L_supported_by_85k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830" cy="4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0E51">
      <w:rPr>
        <w:rFonts w:ascii="Calibri" w:eastAsiaTheme="minorHAnsi" w:hAnsi="Calibri"/>
        <w:noProof/>
        <w:color w:val="auto"/>
        <w:sz w:val="22"/>
        <w:szCs w:val="22"/>
      </w:rPr>
      <w:t xml:space="preserve">     </w:t>
    </w:r>
    <w:r w:rsidRPr="00330E51">
      <w:rPr>
        <w:rFonts w:ascii="Calibri" w:eastAsiaTheme="minorHAnsi" w:hAnsi="Calibri"/>
        <w:noProof/>
        <w:color w:val="auto"/>
        <w:sz w:val="22"/>
        <w:szCs w:val="22"/>
      </w:rPr>
      <w:drawing>
        <wp:inline distT="0" distB="0" distL="0" distR="0" wp14:anchorId="589FC22B" wp14:editId="03E8DA72">
          <wp:extent cx="752475" cy="790575"/>
          <wp:effectExtent l="0" t="0" r="9525" b="9525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0E51" w:rsidRDefault="00330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0A" w:rsidRDefault="00090F0A" w:rsidP="00090F0A">
      <w:r>
        <w:separator/>
      </w:r>
    </w:p>
  </w:footnote>
  <w:footnote w:type="continuationSeparator" w:id="0">
    <w:p w:rsidR="00090F0A" w:rsidRDefault="00090F0A" w:rsidP="0009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5F90"/>
    <w:multiLevelType w:val="multilevel"/>
    <w:tmpl w:val="5B2AE17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1175197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D5E47FF"/>
    <w:multiLevelType w:val="hybridMultilevel"/>
    <w:tmpl w:val="A1A489CE"/>
    <w:lvl w:ilvl="0" w:tplc="2DE4C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CF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63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00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05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8C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44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E9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6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67E80"/>
    <w:multiLevelType w:val="hybridMultilevel"/>
    <w:tmpl w:val="8E8AD8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3"/>
  </w:num>
  <w:num w:numId="39">
    <w:abstractNumId w:val="2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QxxUT9srdS08rrXfUygNvZGRSNyteSoZfOp2odWcZAMn053jeQ6KggpdIfGchqqHij5tImoC0+rRKHTHL3RQA==" w:salt="anyJFNAWPoCbo8pZhVRG6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3D"/>
    <w:rsid w:val="00012127"/>
    <w:rsid w:val="000136B9"/>
    <w:rsid w:val="00033B50"/>
    <w:rsid w:val="00036556"/>
    <w:rsid w:val="00036D7D"/>
    <w:rsid w:val="0004220F"/>
    <w:rsid w:val="00063CC1"/>
    <w:rsid w:val="00090F0A"/>
    <w:rsid w:val="000A20E7"/>
    <w:rsid w:val="00103AC8"/>
    <w:rsid w:val="001609C1"/>
    <w:rsid w:val="00161CF4"/>
    <w:rsid w:val="00171C0C"/>
    <w:rsid w:val="00190BD3"/>
    <w:rsid w:val="001955F6"/>
    <w:rsid w:val="001B43FC"/>
    <w:rsid w:val="001B75FB"/>
    <w:rsid w:val="0024245C"/>
    <w:rsid w:val="0027203A"/>
    <w:rsid w:val="00282413"/>
    <w:rsid w:val="002A5162"/>
    <w:rsid w:val="002E4047"/>
    <w:rsid w:val="002E66FC"/>
    <w:rsid w:val="00330E51"/>
    <w:rsid w:val="0035694F"/>
    <w:rsid w:val="00375684"/>
    <w:rsid w:val="003811B6"/>
    <w:rsid w:val="0039437A"/>
    <w:rsid w:val="003C0364"/>
    <w:rsid w:val="003C24FF"/>
    <w:rsid w:val="003C376C"/>
    <w:rsid w:val="003C714D"/>
    <w:rsid w:val="00414FEC"/>
    <w:rsid w:val="0041760A"/>
    <w:rsid w:val="0042056F"/>
    <w:rsid w:val="00456F19"/>
    <w:rsid w:val="004675A9"/>
    <w:rsid w:val="0048545A"/>
    <w:rsid w:val="004B2136"/>
    <w:rsid w:val="004E2228"/>
    <w:rsid w:val="004E7002"/>
    <w:rsid w:val="00545D49"/>
    <w:rsid w:val="005877DB"/>
    <w:rsid w:val="005B26E5"/>
    <w:rsid w:val="005F34E9"/>
    <w:rsid w:val="00612E3C"/>
    <w:rsid w:val="0063418B"/>
    <w:rsid w:val="00674995"/>
    <w:rsid w:val="006A6C95"/>
    <w:rsid w:val="006D1CE1"/>
    <w:rsid w:val="006D2B8F"/>
    <w:rsid w:val="006E4686"/>
    <w:rsid w:val="00721D40"/>
    <w:rsid w:val="0076596E"/>
    <w:rsid w:val="00773466"/>
    <w:rsid w:val="007A3496"/>
    <w:rsid w:val="00831E1A"/>
    <w:rsid w:val="00832415"/>
    <w:rsid w:val="00872DB0"/>
    <w:rsid w:val="008C0200"/>
    <w:rsid w:val="00900798"/>
    <w:rsid w:val="00903F1F"/>
    <w:rsid w:val="009517EE"/>
    <w:rsid w:val="009A3129"/>
    <w:rsid w:val="009B5E5C"/>
    <w:rsid w:val="009C75AA"/>
    <w:rsid w:val="00A15892"/>
    <w:rsid w:val="00AC3B3F"/>
    <w:rsid w:val="00AF22A0"/>
    <w:rsid w:val="00B15D4A"/>
    <w:rsid w:val="00B2132A"/>
    <w:rsid w:val="00B316C5"/>
    <w:rsid w:val="00B4318B"/>
    <w:rsid w:val="00B4360F"/>
    <w:rsid w:val="00B4698F"/>
    <w:rsid w:val="00B7006A"/>
    <w:rsid w:val="00B8276F"/>
    <w:rsid w:val="00BB2B1C"/>
    <w:rsid w:val="00BF4000"/>
    <w:rsid w:val="00C56727"/>
    <w:rsid w:val="00C720A0"/>
    <w:rsid w:val="00C9501E"/>
    <w:rsid w:val="00CA6D73"/>
    <w:rsid w:val="00D30371"/>
    <w:rsid w:val="00D43831"/>
    <w:rsid w:val="00D55601"/>
    <w:rsid w:val="00D72DDC"/>
    <w:rsid w:val="00D777A7"/>
    <w:rsid w:val="00DA1E13"/>
    <w:rsid w:val="00E170BD"/>
    <w:rsid w:val="00E44A72"/>
    <w:rsid w:val="00E810BB"/>
    <w:rsid w:val="00E9363D"/>
    <w:rsid w:val="00E950D5"/>
    <w:rsid w:val="00E95341"/>
    <w:rsid w:val="00EA6AFD"/>
    <w:rsid w:val="00ED0324"/>
    <w:rsid w:val="00ED269F"/>
    <w:rsid w:val="00ED4283"/>
    <w:rsid w:val="00ED67BC"/>
    <w:rsid w:val="00EF0BE5"/>
    <w:rsid w:val="00F556AE"/>
    <w:rsid w:val="00F625C3"/>
    <w:rsid w:val="00F8651D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7B3CB"/>
  <w15:chartTrackingRefBased/>
  <w15:docId w15:val="{13BD42D5-58DA-48E6-AFB6-350D454E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220F"/>
    <w:rPr>
      <w:rFonts w:ascii="Arial" w:hAnsi="Arial"/>
      <w:color w:val="313231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4220F"/>
    <w:pPr>
      <w:keepNext/>
      <w:numPr>
        <w:numId w:val="3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20F"/>
    <w:pPr>
      <w:keepNext/>
      <w:numPr>
        <w:ilvl w:val="1"/>
        <w:numId w:val="3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4220F"/>
    <w:pPr>
      <w:keepNext/>
      <w:numPr>
        <w:ilvl w:val="2"/>
        <w:numId w:val="3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4220F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4220F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220F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4220F"/>
    <w:pPr>
      <w:numPr>
        <w:ilvl w:val="6"/>
        <w:numId w:val="3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4220F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4220F"/>
    <w:pPr>
      <w:numPr>
        <w:ilvl w:val="8"/>
        <w:numId w:val="3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B2132A"/>
    <w:rPr>
      <w:rFonts w:ascii="Arial" w:hAnsi="Arial" w:cs="Arial"/>
      <w:b/>
      <w:bCs/>
      <w:i/>
      <w:iCs/>
      <w:color w:val="31323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2132A"/>
    <w:rPr>
      <w:rFonts w:ascii="Arial" w:hAnsi="Arial" w:cs="Arial"/>
      <w:b/>
      <w:bCs/>
      <w:color w:val="31323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132A"/>
    <w:rPr>
      <w:rFonts w:ascii="Arial" w:hAnsi="Arial"/>
      <w:b/>
      <w:bCs/>
      <w:color w:val="313231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2132A"/>
    <w:rPr>
      <w:rFonts w:ascii="Arial" w:hAnsi="Arial"/>
      <w:b/>
      <w:bCs/>
      <w:i/>
      <w:iCs/>
      <w:color w:val="313231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2132A"/>
    <w:rPr>
      <w:rFonts w:ascii="Arial" w:hAnsi="Arial"/>
      <w:b/>
      <w:bCs/>
      <w:color w:val="31323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2132A"/>
    <w:rPr>
      <w:rFonts w:ascii="Arial" w:hAnsi="Arial"/>
      <w:color w:val="313231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2132A"/>
    <w:rPr>
      <w:rFonts w:ascii="Arial" w:hAnsi="Arial"/>
      <w:i/>
      <w:iCs/>
      <w:color w:val="313231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2132A"/>
    <w:rPr>
      <w:rFonts w:ascii="Arial" w:hAnsi="Arial" w:cs="Arial"/>
      <w:color w:val="313231"/>
      <w:sz w:val="22"/>
      <w:szCs w:val="22"/>
    </w:rPr>
  </w:style>
  <w:style w:type="paragraph" w:styleId="Caption">
    <w:name w:val="caption"/>
    <w:basedOn w:val="Normal"/>
    <w:next w:val="Normal"/>
    <w:qFormat/>
    <w:rsid w:val="0004220F"/>
    <w:pPr>
      <w:spacing w:after="60" w:line="300" w:lineRule="exact"/>
    </w:pPr>
    <w:rPr>
      <w:rFonts w:ascii="Foundry Form Sans" w:hAnsi="Foundry Form Sans"/>
      <w:b/>
      <w:bCs/>
      <w:szCs w:val="20"/>
    </w:rPr>
  </w:style>
  <w:style w:type="paragraph" w:styleId="Title">
    <w:name w:val="Title"/>
    <w:basedOn w:val="Normal"/>
    <w:link w:val="TitleChar"/>
    <w:qFormat/>
    <w:rsid w:val="000422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132A"/>
    <w:rPr>
      <w:rFonts w:ascii="Arial" w:hAnsi="Arial" w:cs="Arial"/>
      <w:b/>
      <w:bCs/>
      <w:color w:val="313231"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04220F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B2132A"/>
    <w:rPr>
      <w:rFonts w:ascii="Arial" w:hAnsi="Arial" w:cs="Arial"/>
      <w:color w:val="313231"/>
      <w:sz w:val="24"/>
      <w:szCs w:val="24"/>
    </w:rPr>
  </w:style>
  <w:style w:type="character" w:styleId="Strong">
    <w:name w:val="Strong"/>
    <w:qFormat/>
    <w:rsid w:val="0004220F"/>
    <w:rPr>
      <w:b/>
      <w:bCs/>
      <w:color w:val="313231"/>
    </w:rPr>
  </w:style>
  <w:style w:type="character" w:styleId="Emphasis">
    <w:name w:val="Emphasis"/>
    <w:qFormat/>
    <w:rsid w:val="0004220F"/>
    <w:rPr>
      <w:i/>
      <w:iCs/>
      <w:color w:val="313231"/>
    </w:rPr>
  </w:style>
  <w:style w:type="paragraph" w:styleId="ListParagraph">
    <w:name w:val="List Paragraph"/>
    <w:basedOn w:val="Normal"/>
    <w:uiPriority w:val="34"/>
    <w:qFormat/>
    <w:rsid w:val="0004220F"/>
    <w:pPr>
      <w:ind w:left="720"/>
    </w:pPr>
  </w:style>
  <w:style w:type="paragraph" w:styleId="Header">
    <w:name w:val="header"/>
    <w:basedOn w:val="Normal"/>
    <w:link w:val="HeaderChar"/>
    <w:unhideWhenUsed/>
    <w:rsid w:val="0009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F0A"/>
    <w:rPr>
      <w:rFonts w:ascii="Arial" w:hAnsi="Arial"/>
      <w:color w:val="313231"/>
      <w:sz w:val="24"/>
      <w:szCs w:val="24"/>
    </w:rPr>
  </w:style>
  <w:style w:type="paragraph" w:styleId="Footer">
    <w:name w:val="footer"/>
    <w:basedOn w:val="Normal"/>
    <w:link w:val="FooterChar"/>
    <w:unhideWhenUsed/>
    <w:rsid w:val="0009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F0A"/>
    <w:rPr>
      <w:rFonts w:ascii="Arial" w:hAnsi="Arial"/>
      <w:color w:val="31323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4000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nhideWhenUsed/>
    <w:rsid w:val="00161C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C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297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london.gov.uk/dataset/employability-performance-rating-epr-annual-ra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AIDATA\ESFDELIVERY$\ADocs\P&amp;P\ESF%202014-20%20Regional%20preparation\Employability%20Performance%20Rating%202014-2020\Publishing%202017\Datasheets%20sent%20to%20Funders\Data%20to%20be%20publish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Rating Distribution 2015/2017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Sheet1!$F$13</c:f>
              <c:strCache>
                <c:ptCount val="1"/>
                <c:pt idx="0">
                  <c:v>Zero Stars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Sheet1!$G$12</c:f>
              <c:strCache>
                <c:ptCount val="1"/>
                <c:pt idx="0">
                  <c:v>Submissions</c:v>
                </c:pt>
              </c:strCache>
            </c:strRef>
          </c:cat>
          <c:val>
            <c:numRef>
              <c:f>Sheet1!$G$13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19-4979-AD66-81D712A90237}"/>
            </c:ext>
          </c:extLst>
        </c:ser>
        <c:ser>
          <c:idx val="1"/>
          <c:order val="1"/>
          <c:tx>
            <c:strRef>
              <c:f>Sheet1!$F$14</c:f>
              <c:strCache>
                <c:ptCount val="1"/>
                <c:pt idx="0">
                  <c:v>One Stars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Sheet1!$G$12</c:f>
              <c:strCache>
                <c:ptCount val="1"/>
                <c:pt idx="0">
                  <c:v>Submissions</c:v>
                </c:pt>
              </c:strCache>
            </c:strRef>
          </c:cat>
          <c:val>
            <c:numRef>
              <c:f>Sheet1!$G$14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19-4979-AD66-81D712A90237}"/>
            </c:ext>
          </c:extLst>
        </c:ser>
        <c:ser>
          <c:idx val="2"/>
          <c:order val="2"/>
          <c:tx>
            <c:strRef>
              <c:f>Sheet1!$F$15</c:f>
              <c:strCache>
                <c:ptCount val="1"/>
                <c:pt idx="0">
                  <c:v>Two Stars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Sheet1!$G$12</c:f>
              <c:strCache>
                <c:ptCount val="1"/>
                <c:pt idx="0">
                  <c:v>Submissions</c:v>
                </c:pt>
              </c:strCache>
            </c:strRef>
          </c:cat>
          <c:val>
            <c:numRef>
              <c:f>Sheet1!$G$15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19-4979-AD66-81D712A90237}"/>
            </c:ext>
          </c:extLst>
        </c:ser>
        <c:ser>
          <c:idx val="3"/>
          <c:order val="3"/>
          <c:tx>
            <c:strRef>
              <c:f>Sheet1!$F$16</c:f>
              <c:strCache>
                <c:ptCount val="1"/>
                <c:pt idx="0">
                  <c:v>Three Stars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Sheet1!$G$12</c:f>
              <c:strCache>
                <c:ptCount val="1"/>
                <c:pt idx="0">
                  <c:v>Submissions</c:v>
                </c:pt>
              </c:strCache>
            </c:strRef>
          </c:cat>
          <c:val>
            <c:numRef>
              <c:f>Sheet1!$G$16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19-4979-AD66-81D712A902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484845432"/>
        <c:axId val="484844776"/>
      </c:barChart>
      <c:catAx>
        <c:axId val="484845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844776"/>
        <c:crosses val="autoZero"/>
        <c:auto val="1"/>
        <c:lblAlgn val="ctr"/>
        <c:lblOffset val="100"/>
        <c:noMultiLvlLbl val="0"/>
      </c:catAx>
      <c:valAx>
        <c:axId val="484844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845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4D2C-DB2C-4D19-8B33-A03DD743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5550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Dominic</dc:creator>
  <cp:keywords/>
  <dc:description/>
  <cp:lastModifiedBy>Robert Dominic</cp:lastModifiedBy>
  <cp:revision>3</cp:revision>
  <cp:lastPrinted>2017-10-17T13:59:00Z</cp:lastPrinted>
  <dcterms:created xsi:type="dcterms:W3CDTF">2017-10-18T14:40:00Z</dcterms:created>
  <dcterms:modified xsi:type="dcterms:W3CDTF">2017-10-20T10:00:00Z</dcterms:modified>
</cp:coreProperties>
</file>