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Mar>
          <w:left w:w="0" w:type="dxa"/>
          <w:right w:w="0" w:type="dxa"/>
        </w:tblCellMar>
        <w:tblLook w:val="01E0" w:firstRow="1" w:lastRow="1" w:firstColumn="1" w:lastColumn="1" w:noHBand="0" w:noVBand="0"/>
      </w:tblPr>
      <w:tblGrid>
        <w:gridCol w:w="6010"/>
        <w:gridCol w:w="2438"/>
        <w:gridCol w:w="1191"/>
      </w:tblGrid>
      <w:tr w:rsidR="00F82FAB" w:rsidRPr="00AB7829" w:rsidTr="00B83467">
        <w:tc>
          <w:tcPr>
            <w:tcW w:w="8448" w:type="dxa"/>
            <w:gridSpan w:val="2"/>
          </w:tcPr>
          <w:p w:rsidR="0037530A" w:rsidRDefault="0037530A" w:rsidP="00F82FAB">
            <w:pPr>
              <w:pStyle w:val="TitleInfo"/>
            </w:pPr>
          </w:p>
          <w:p w:rsidR="00F82FAB" w:rsidRPr="00AB7829" w:rsidRDefault="00F82FAB" w:rsidP="00F82FAB">
            <w:pPr>
              <w:pStyle w:val="TitleInfo"/>
            </w:pPr>
            <w:r w:rsidRPr="00AB7829">
              <w:t>Report title</w:t>
            </w:r>
          </w:p>
        </w:tc>
        <w:tc>
          <w:tcPr>
            <w:tcW w:w="1191" w:type="dxa"/>
            <w:tcMar>
              <w:left w:w="113" w:type="dxa"/>
            </w:tcMar>
          </w:tcPr>
          <w:p w:rsidR="00F82FAB" w:rsidRPr="00AB7829" w:rsidRDefault="00F82FAB" w:rsidP="00F82FAB">
            <w:pPr>
              <w:pStyle w:val="TitleInfo"/>
            </w:pPr>
          </w:p>
        </w:tc>
      </w:tr>
      <w:tr w:rsidR="00F07FBE" w:rsidRPr="00AB7829" w:rsidTr="001D5D97">
        <w:trPr>
          <w:trHeight w:val="20"/>
        </w:trPr>
        <w:tc>
          <w:tcPr>
            <w:tcW w:w="9639" w:type="dxa"/>
            <w:gridSpan w:val="3"/>
          </w:tcPr>
          <w:p w:rsidR="00F07FBE" w:rsidRPr="00F07FBE" w:rsidRDefault="004F7D9D" w:rsidP="00801436">
            <w:pPr>
              <w:pStyle w:val="TitleNo"/>
              <w:spacing w:line="0" w:lineRule="atLeast"/>
              <w:jc w:val="left"/>
              <w:rPr>
                <w:sz w:val="34"/>
                <w:szCs w:val="34"/>
              </w:rPr>
            </w:pPr>
            <w:r>
              <w:rPr>
                <w:sz w:val="34"/>
                <w:szCs w:val="34"/>
              </w:rPr>
              <w:t xml:space="preserve">Financial </w:t>
            </w:r>
            <w:r w:rsidR="00EC550C">
              <w:rPr>
                <w:sz w:val="34"/>
                <w:szCs w:val="34"/>
              </w:rPr>
              <w:t xml:space="preserve">Position as at the end of </w:t>
            </w:r>
            <w:r w:rsidR="00801436">
              <w:rPr>
                <w:sz w:val="34"/>
                <w:szCs w:val="34"/>
              </w:rPr>
              <w:t>December</w:t>
            </w:r>
            <w:r w:rsidR="00EC550C">
              <w:rPr>
                <w:sz w:val="34"/>
                <w:szCs w:val="34"/>
              </w:rPr>
              <w:t xml:space="preserve"> 2017</w:t>
            </w:r>
          </w:p>
        </w:tc>
      </w:tr>
      <w:tr w:rsidR="00B83467" w:rsidRPr="00AB7829" w:rsidTr="00B83467">
        <w:tc>
          <w:tcPr>
            <w:tcW w:w="9639" w:type="dxa"/>
            <w:gridSpan w:val="3"/>
            <w:tcBorders>
              <w:bottom w:val="single" w:sz="8" w:space="0" w:color="auto"/>
            </w:tcBorders>
          </w:tcPr>
          <w:p w:rsidR="00B83467" w:rsidRPr="00AB7829" w:rsidRDefault="00B83467" w:rsidP="00B83467">
            <w:pPr>
              <w:pStyle w:val="TitleInfo"/>
            </w:pPr>
          </w:p>
        </w:tc>
      </w:tr>
      <w:tr w:rsidR="00B83467" w:rsidRPr="00AB7829" w:rsidTr="00EA4AB0">
        <w:tc>
          <w:tcPr>
            <w:tcW w:w="6010" w:type="dxa"/>
            <w:tcBorders>
              <w:top w:val="single" w:sz="8" w:space="0" w:color="auto"/>
            </w:tcBorders>
          </w:tcPr>
          <w:p w:rsidR="00B83467" w:rsidRPr="00AB7829" w:rsidRDefault="00B83467" w:rsidP="00B83467">
            <w:pPr>
              <w:pStyle w:val="TitleInfo"/>
            </w:pPr>
            <w:r w:rsidRPr="00AB7829">
              <w:t>Meeting</w:t>
            </w:r>
          </w:p>
        </w:tc>
        <w:tc>
          <w:tcPr>
            <w:tcW w:w="3629" w:type="dxa"/>
            <w:gridSpan w:val="2"/>
            <w:tcBorders>
              <w:top w:val="single" w:sz="8" w:space="0" w:color="auto"/>
            </w:tcBorders>
          </w:tcPr>
          <w:p w:rsidR="00B83467" w:rsidRPr="00AB7829" w:rsidRDefault="00B83467" w:rsidP="00B83467">
            <w:pPr>
              <w:pStyle w:val="TitleInfo"/>
            </w:pPr>
            <w:r w:rsidRPr="00AB7829">
              <w:t>Date</w:t>
            </w:r>
          </w:p>
        </w:tc>
      </w:tr>
      <w:tr w:rsidR="00B83467" w:rsidRPr="00AB7829" w:rsidTr="00EA4AB0">
        <w:tc>
          <w:tcPr>
            <w:tcW w:w="6010" w:type="dxa"/>
            <w:tcBorders>
              <w:bottom w:val="single" w:sz="8" w:space="0" w:color="auto"/>
            </w:tcBorders>
            <w:tcMar>
              <w:bottom w:w="227" w:type="dxa"/>
            </w:tcMar>
          </w:tcPr>
          <w:p w:rsidR="00B648CD" w:rsidRPr="0035269B" w:rsidRDefault="00B648CD" w:rsidP="001D61A8">
            <w:pPr>
              <w:pStyle w:val="TitleMeeting"/>
            </w:pPr>
            <w:bookmarkStart w:id="0" w:name="Meeting"/>
            <w:r w:rsidRPr="0035269B">
              <w:t>Resources</w:t>
            </w:r>
            <w:bookmarkEnd w:id="0"/>
            <w:r w:rsidRPr="0035269B">
              <w:t xml:space="preserve"> Committee</w:t>
            </w:r>
          </w:p>
        </w:tc>
        <w:tc>
          <w:tcPr>
            <w:tcW w:w="3629" w:type="dxa"/>
            <w:gridSpan w:val="2"/>
            <w:tcBorders>
              <w:bottom w:val="single" w:sz="8" w:space="0" w:color="auto"/>
            </w:tcBorders>
            <w:tcMar>
              <w:bottom w:w="227" w:type="dxa"/>
            </w:tcMar>
          </w:tcPr>
          <w:p w:rsidR="00EA1094" w:rsidRPr="0035269B" w:rsidRDefault="00801436" w:rsidP="000F4F73">
            <w:pPr>
              <w:pStyle w:val="TitleMeeting"/>
            </w:pPr>
            <w:r>
              <w:t>16 March 2018</w:t>
            </w:r>
          </w:p>
        </w:tc>
      </w:tr>
      <w:tr w:rsidR="00B83467" w:rsidRPr="00AB7829" w:rsidTr="00EA4AB0">
        <w:tc>
          <w:tcPr>
            <w:tcW w:w="6010" w:type="dxa"/>
            <w:tcBorders>
              <w:top w:val="single" w:sz="8" w:space="0" w:color="auto"/>
            </w:tcBorders>
          </w:tcPr>
          <w:p w:rsidR="00B83467" w:rsidRPr="00AB7829" w:rsidRDefault="00B83467" w:rsidP="00B83467">
            <w:pPr>
              <w:pStyle w:val="TitleInfo"/>
            </w:pPr>
            <w:r w:rsidRPr="00AB7829">
              <w:t>Report by</w:t>
            </w:r>
          </w:p>
        </w:tc>
        <w:tc>
          <w:tcPr>
            <w:tcW w:w="3629" w:type="dxa"/>
            <w:gridSpan w:val="2"/>
            <w:tcBorders>
              <w:top w:val="single" w:sz="8" w:space="0" w:color="auto"/>
            </w:tcBorders>
          </w:tcPr>
          <w:p w:rsidR="00B83467" w:rsidRPr="00AB7829" w:rsidRDefault="00B83467" w:rsidP="00B83467">
            <w:pPr>
              <w:pStyle w:val="TitleInfo"/>
            </w:pPr>
            <w:r w:rsidRPr="00AB7829">
              <w:t>Document Number</w:t>
            </w:r>
          </w:p>
        </w:tc>
      </w:tr>
      <w:tr w:rsidR="00B83467" w:rsidRPr="00AB7829" w:rsidTr="00EA4AB0">
        <w:tc>
          <w:tcPr>
            <w:tcW w:w="6010" w:type="dxa"/>
            <w:tcBorders>
              <w:bottom w:val="single" w:sz="8" w:space="0" w:color="auto"/>
            </w:tcBorders>
            <w:tcMar>
              <w:bottom w:w="227" w:type="dxa"/>
            </w:tcMar>
          </w:tcPr>
          <w:p w:rsidR="00711E14" w:rsidRPr="00D658C4" w:rsidRDefault="00FA334A" w:rsidP="00FC1E61">
            <w:pPr>
              <w:pStyle w:val="TitleText"/>
              <w:rPr>
                <w:sz w:val="24"/>
              </w:rPr>
            </w:pPr>
            <w:bookmarkStart w:id="1" w:name="ReportBy"/>
            <w:r w:rsidRPr="00D658C4">
              <w:rPr>
                <w:sz w:val="24"/>
              </w:rPr>
              <w:t xml:space="preserve">Director </w:t>
            </w:r>
            <w:r w:rsidR="009701C5" w:rsidRPr="00D658C4">
              <w:rPr>
                <w:sz w:val="24"/>
              </w:rPr>
              <w:t xml:space="preserve">of </w:t>
            </w:r>
            <w:r w:rsidRPr="00D658C4">
              <w:rPr>
                <w:sz w:val="24"/>
              </w:rPr>
              <w:t>Finance and Contractual Services</w:t>
            </w:r>
            <w:bookmarkEnd w:id="1"/>
          </w:p>
        </w:tc>
        <w:tc>
          <w:tcPr>
            <w:tcW w:w="3629" w:type="dxa"/>
            <w:gridSpan w:val="2"/>
            <w:tcBorders>
              <w:bottom w:val="single" w:sz="8" w:space="0" w:color="auto"/>
            </w:tcBorders>
            <w:tcMar>
              <w:bottom w:w="227" w:type="dxa"/>
            </w:tcMar>
          </w:tcPr>
          <w:p w:rsidR="00711E14" w:rsidRPr="00A940BB" w:rsidRDefault="00711E14" w:rsidP="00D54EC3">
            <w:pPr>
              <w:pStyle w:val="TitleText"/>
              <w:rPr>
                <w:sz w:val="24"/>
              </w:rPr>
            </w:pPr>
            <w:bookmarkStart w:id="2" w:name="DocNumber"/>
            <w:bookmarkEnd w:id="2"/>
          </w:p>
        </w:tc>
      </w:tr>
      <w:tr w:rsidR="00B83467" w:rsidRPr="00AB7829" w:rsidTr="00184F0C">
        <w:tc>
          <w:tcPr>
            <w:tcW w:w="9639" w:type="dxa"/>
            <w:gridSpan w:val="3"/>
          </w:tcPr>
          <w:p w:rsidR="00E36F1B" w:rsidRPr="00AB7829" w:rsidRDefault="00FA334A" w:rsidP="00DC309C">
            <w:pPr>
              <w:pStyle w:val="TitleTextSm"/>
            </w:pPr>
            <w:bookmarkStart w:id="3" w:name="PublicText"/>
            <w:r>
              <w:t>Public</w:t>
            </w:r>
            <w:bookmarkEnd w:id="3"/>
          </w:p>
        </w:tc>
      </w:tr>
      <w:tr w:rsidR="00B83467" w:rsidRPr="00AB7829" w:rsidTr="00184F0C">
        <w:tc>
          <w:tcPr>
            <w:tcW w:w="9639" w:type="dxa"/>
            <w:gridSpan w:val="3"/>
            <w:tcBorders>
              <w:bottom w:val="single" w:sz="24" w:space="0" w:color="auto"/>
            </w:tcBorders>
          </w:tcPr>
          <w:p w:rsidR="00B83467" w:rsidRPr="00AB7829" w:rsidRDefault="00B83467" w:rsidP="00B83467">
            <w:pPr>
              <w:pStyle w:val="TitleInfo"/>
            </w:pPr>
          </w:p>
        </w:tc>
      </w:tr>
      <w:tr w:rsidR="00B83467" w:rsidRPr="00AB7829" w:rsidTr="00184F0C">
        <w:trPr>
          <w:trHeight w:val="907"/>
        </w:trPr>
        <w:tc>
          <w:tcPr>
            <w:tcW w:w="9639" w:type="dxa"/>
            <w:gridSpan w:val="3"/>
            <w:tcBorders>
              <w:top w:val="single" w:sz="24" w:space="0" w:color="auto"/>
            </w:tcBorders>
          </w:tcPr>
          <w:p w:rsidR="00B83467" w:rsidRPr="00AB7829" w:rsidRDefault="00B83467" w:rsidP="00B83467">
            <w:pPr>
              <w:pStyle w:val="TitleInfo"/>
            </w:pPr>
          </w:p>
        </w:tc>
      </w:tr>
    </w:tbl>
    <w:p w:rsidR="00F82FAB" w:rsidRDefault="00B83467" w:rsidP="006F0DAF">
      <w:pPr>
        <w:pStyle w:val="Heading"/>
        <w:rPr>
          <w:sz w:val="24"/>
        </w:rPr>
      </w:pPr>
      <w:r w:rsidRPr="0086630D">
        <w:rPr>
          <w:sz w:val="24"/>
        </w:rPr>
        <w:t>Summary</w:t>
      </w:r>
    </w:p>
    <w:p w:rsidR="007C4F25" w:rsidRDefault="007C4F25" w:rsidP="006F0DAF">
      <w:pPr>
        <w:pStyle w:val="Heading"/>
        <w:rPr>
          <w:b w:val="0"/>
          <w:sz w:val="24"/>
        </w:rPr>
      </w:pPr>
      <w:r w:rsidRPr="0086630D">
        <w:rPr>
          <w:b w:val="0"/>
          <w:sz w:val="24"/>
        </w:rPr>
        <w:t>This report presents the financial pos</w:t>
      </w:r>
      <w:r>
        <w:rPr>
          <w:b w:val="0"/>
          <w:sz w:val="24"/>
        </w:rPr>
        <w:t xml:space="preserve">ition as at the end of </w:t>
      </w:r>
      <w:r w:rsidR="00801436">
        <w:rPr>
          <w:b w:val="0"/>
          <w:sz w:val="24"/>
        </w:rPr>
        <w:t>December</w:t>
      </w:r>
      <w:r>
        <w:rPr>
          <w:b w:val="0"/>
          <w:sz w:val="24"/>
        </w:rPr>
        <w:t xml:space="preserve"> 2017</w:t>
      </w:r>
      <w:r w:rsidRPr="0086630D">
        <w:rPr>
          <w:b w:val="0"/>
          <w:sz w:val="24"/>
        </w:rPr>
        <w:t xml:space="preserve"> (quarter </w:t>
      </w:r>
      <w:r w:rsidR="00801436">
        <w:rPr>
          <w:b w:val="0"/>
          <w:sz w:val="24"/>
        </w:rPr>
        <w:t>3</w:t>
      </w:r>
      <w:r w:rsidRPr="0086630D">
        <w:rPr>
          <w:b w:val="0"/>
          <w:sz w:val="24"/>
        </w:rPr>
        <w:t>)</w:t>
      </w:r>
      <w:r>
        <w:rPr>
          <w:b w:val="0"/>
          <w:sz w:val="24"/>
        </w:rPr>
        <w:t xml:space="preserve">. It </w:t>
      </w:r>
      <w:r w:rsidRPr="0086630D">
        <w:rPr>
          <w:b w:val="0"/>
          <w:sz w:val="24"/>
        </w:rPr>
        <w:t>provides information on financial performance against</w:t>
      </w:r>
      <w:r>
        <w:rPr>
          <w:b w:val="0"/>
          <w:sz w:val="24"/>
        </w:rPr>
        <w:t xml:space="preserve"> </w:t>
      </w:r>
      <w:r w:rsidRPr="0086630D">
        <w:rPr>
          <w:b w:val="0"/>
          <w:sz w:val="24"/>
        </w:rPr>
        <w:t xml:space="preserve">revenue and capital budgets. </w:t>
      </w:r>
    </w:p>
    <w:p w:rsidR="007C4F25" w:rsidRDefault="007C4F25" w:rsidP="006F0DAF">
      <w:pPr>
        <w:pStyle w:val="Heading"/>
        <w:rPr>
          <w:b w:val="0"/>
          <w:sz w:val="24"/>
        </w:rPr>
      </w:pPr>
    </w:p>
    <w:p w:rsidR="005224AD" w:rsidRDefault="00D30C3A" w:rsidP="006F0DAF">
      <w:pPr>
        <w:pStyle w:val="Heading"/>
        <w:rPr>
          <w:sz w:val="24"/>
        </w:rPr>
      </w:pPr>
      <w:r w:rsidRPr="0086630D">
        <w:rPr>
          <w:sz w:val="24"/>
        </w:rPr>
        <w:t>Recommendation</w:t>
      </w:r>
    </w:p>
    <w:p w:rsidR="009F57CE" w:rsidRPr="009F57CE" w:rsidRDefault="009F57CE" w:rsidP="009F57CE">
      <w:pPr>
        <w:tabs>
          <w:tab w:val="left" w:pos="2490"/>
        </w:tabs>
        <w:rPr>
          <w:sz w:val="24"/>
        </w:rPr>
      </w:pPr>
      <w:r w:rsidRPr="009F57CE">
        <w:rPr>
          <w:sz w:val="24"/>
        </w:rPr>
        <w:t>That:</w:t>
      </w:r>
    </w:p>
    <w:p w:rsidR="009F57CE" w:rsidRPr="009F57CE" w:rsidRDefault="009F57CE" w:rsidP="003D479B">
      <w:pPr>
        <w:pStyle w:val="ListParagraph"/>
        <w:numPr>
          <w:ilvl w:val="0"/>
          <w:numId w:val="7"/>
        </w:numPr>
        <w:ind w:left="567" w:hanging="567"/>
        <w:contextualSpacing w:val="0"/>
        <w:rPr>
          <w:sz w:val="24"/>
        </w:rPr>
      </w:pPr>
      <w:r w:rsidRPr="009F57CE">
        <w:rPr>
          <w:sz w:val="24"/>
        </w:rPr>
        <w:t>The report be noted; and</w:t>
      </w:r>
    </w:p>
    <w:p w:rsidR="0043439D" w:rsidRPr="009F57CE" w:rsidRDefault="009F57CE" w:rsidP="003D479B">
      <w:pPr>
        <w:pStyle w:val="ListParagraph"/>
        <w:numPr>
          <w:ilvl w:val="0"/>
          <w:numId w:val="7"/>
        </w:numPr>
        <w:ind w:left="567" w:hanging="567"/>
        <w:contextualSpacing w:val="0"/>
        <w:rPr>
          <w:sz w:val="24"/>
        </w:rPr>
      </w:pPr>
      <w:r w:rsidRPr="009F57CE">
        <w:rPr>
          <w:sz w:val="24"/>
        </w:rPr>
        <w:t>The Committee agree to settle the 20</w:t>
      </w:r>
      <w:r>
        <w:rPr>
          <w:sz w:val="24"/>
        </w:rPr>
        <w:t>17/18</w:t>
      </w:r>
      <w:r w:rsidRPr="009F57CE">
        <w:rPr>
          <w:sz w:val="24"/>
        </w:rPr>
        <w:t xml:space="preserve"> FRS pay claim on the basis of a pay increase of 1%, plus a non-consolidated one-off payment of £300 and a salary progression increase of 2.5%, as set out in paragraph </w:t>
      </w:r>
      <w:r w:rsidR="008A36D9">
        <w:rPr>
          <w:sz w:val="24"/>
        </w:rPr>
        <w:t>15</w:t>
      </w:r>
      <w:r w:rsidRPr="009F57CE">
        <w:rPr>
          <w:sz w:val="24"/>
        </w:rPr>
        <w:t>.</w:t>
      </w:r>
    </w:p>
    <w:p w:rsidR="0043439D" w:rsidRPr="00032136" w:rsidRDefault="0043439D" w:rsidP="00D708D8">
      <w:pPr>
        <w:spacing w:after="0"/>
        <w:rPr>
          <w:b/>
        </w:rPr>
      </w:pPr>
    </w:p>
    <w:p w:rsidR="003668B1" w:rsidRPr="00032136" w:rsidRDefault="003668B1" w:rsidP="00032136">
      <w:pPr>
        <w:spacing w:line="240" w:lineRule="auto"/>
        <w:contextualSpacing/>
        <w:rPr>
          <w:b/>
        </w:rPr>
      </w:pPr>
    </w:p>
    <w:p w:rsidR="00D54EC3" w:rsidRDefault="00D54EC3" w:rsidP="00186B82">
      <w:pPr>
        <w:pStyle w:val="Heading"/>
      </w:pPr>
      <w:r>
        <w:br w:type="page"/>
      </w:r>
    </w:p>
    <w:p w:rsidR="00F82FAB" w:rsidRDefault="0057490F" w:rsidP="00935322">
      <w:pPr>
        <w:pStyle w:val="NumbList"/>
        <w:numPr>
          <w:ilvl w:val="0"/>
          <w:numId w:val="0"/>
        </w:numPr>
        <w:spacing w:after="0"/>
        <w:contextualSpacing/>
        <w:rPr>
          <w:b/>
          <w:sz w:val="24"/>
        </w:rPr>
      </w:pPr>
      <w:r w:rsidRPr="0086630D">
        <w:rPr>
          <w:b/>
          <w:sz w:val="24"/>
        </w:rPr>
        <w:t>Introduction</w:t>
      </w:r>
    </w:p>
    <w:p w:rsidR="007C4F25" w:rsidRDefault="000F4F73" w:rsidP="003D479B">
      <w:pPr>
        <w:pStyle w:val="ListParagraph"/>
        <w:numPr>
          <w:ilvl w:val="0"/>
          <w:numId w:val="160"/>
        </w:numPr>
        <w:ind w:left="567" w:hanging="567"/>
        <w:contextualSpacing w:val="0"/>
        <w:rPr>
          <w:sz w:val="24"/>
        </w:rPr>
      </w:pPr>
      <w:r w:rsidRPr="000F4F73">
        <w:rPr>
          <w:sz w:val="24"/>
        </w:rPr>
        <w:t>This report considers the financial pos</w:t>
      </w:r>
      <w:r>
        <w:rPr>
          <w:sz w:val="24"/>
        </w:rPr>
        <w:t xml:space="preserve">ition as at the end of </w:t>
      </w:r>
      <w:r w:rsidR="00801436">
        <w:rPr>
          <w:sz w:val="24"/>
        </w:rPr>
        <w:t>December</w:t>
      </w:r>
      <w:r>
        <w:rPr>
          <w:sz w:val="24"/>
        </w:rPr>
        <w:t xml:space="preserve"> 2017</w:t>
      </w:r>
      <w:r w:rsidRPr="000F4F73">
        <w:rPr>
          <w:sz w:val="24"/>
        </w:rPr>
        <w:t xml:space="preserve">, including a forecast of outturn at the financial year end. </w:t>
      </w:r>
    </w:p>
    <w:p w:rsidR="00DF1865" w:rsidRDefault="007C4F25" w:rsidP="003D479B">
      <w:pPr>
        <w:pStyle w:val="ListParagraph"/>
        <w:numPr>
          <w:ilvl w:val="0"/>
          <w:numId w:val="160"/>
        </w:numPr>
        <w:ind w:left="567" w:hanging="567"/>
        <w:contextualSpacing w:val="0"/>
        <w:rPr>
          <w:sz w:val="24"/>
        </w:rPr>
      </w:pPr>
      <w:r w:rsidRPr="007C4F25">
        <w:rPr>
          <w:sz w:val="24"/>
        </w:rPr>
        <w:t>All departments review their actual income and expenditure on a regular basis, and provide an updated forecast of outturn and explanation of variances, against all their budgets, to the Finance Department</w:t>
      </w:r>
      <w:r w:rsidR="004E7481">
        <w:rPr>
          <w:sz w:val="24"/>
        </w:rPr>
        <w:t xml:space="preserve">. </w:t>
      </w:r>
      <w:r w:rsidRPr="007C4F25">
        <w:rPr>
          <w:sz w:val="24"/>
        </w:rPr>
        <w:t>These returns then form the basis of</w:t>
      </w:r>
      <w:r w:rsidR="004E7481">
        <w:rPr>
          <w:sz w:val="24"/>
        </w:rPr>
        <w:t xml:space="preserve"> </w:t>
      </w:r>
      <w:r w:rsidRPr="007C4F25">
        <w:rPr>
          <w:sz w:val="24"/>
        </w:rPr>
        <w:t xml:space="preserve">reporting to the Corporate Management Board and from there on to the Resources Committee </w:t>
      </w:r>
      <w:r w:rsidR="006C24C2">
        <w:rPr>
          <w:sz w:val="24"/>
        </w:rPr>
        <w:t xml:space="preserve">and the Greater London Authority </w:t>
      </w:r>
      <w:r w:rsidRPr="007C4F25">
        <w:rPr>
          <w:sz w:val="24"/>
        </w:rPr>
        <w:t>on a quarterly basis.</w:t>
      </w:r>
    </w:p>
    <w:p w:rsidR="004F7D9D" w:rsidRDefault="004F7D9D" w:rsidP="00935322">
      <w:pPr>
        <w:pStyle w:val="NumbList"/>
        <w:numPr>
          <w:ilvl w:val="0"/>
          <w:numId w:val="0"/>
        </w:numPr>
        <w:spacing w:after="0"/>
        <w:contextualSpacing/>
        <w:rPr>
          <w:b/>
          <w:sz w:val="24"/>
        </w:rPr>
      </w:pPr>
      <w:r w:rsidRPr="00887CD3">
        <w:rPr>
          <w:b/>
          <w:sz w:val="24"/>
        </w:rPr>
        <w:t>Background to 201</w:t>
      </w:r>
      <w:r w:rsidR="00EF6642">
        <w:rPr>
          <w:b/>
          <w:sz w:val="24"/>
        </w:rPr>
        <w:t>7</w:t>
      </w:r>
      <w:r w:rsidRPr="00887CD3">
        <w:rPr>
          <w:b/>
          <w:sz w:val="24"/>
        </w:rPr>
        <w:t>/1</w:t>
      </w:r>
      <w:r w:rsidR="00EF6642">
        <w:rPr>
          <w:b/>
          <w:sz w:val="24"/>
        </w:rPr>
        <w:t>8</w:t>
      </w:r>
      <w:r>
        <w:rPr>
          <w:b/>
          <w:sz w:val="24"/>
        </w:rPr>
        <w:t xml:space="preserve"> </w:t>
      </w:r>
      <w:r w:rsidRPr="00887CD3">
        <w:rPr>
          <w:b/>
          <w:sz w:val="24"/>
        </w:rPr>
        <w:t>Budget</w:t>
      </w:r>
    </w:p>
    <w:p w:rsidR="00601246" w:rsidRDefault="00021FFC" w:rsidP="003D479B">
      <w:pPr>
        <w:pStyle w:val="ListParagraph"/>
        <w:numPr>
          <w:ilvl w:val="0"/>
          <w:numId w:val="160"/>
        </w:numPr>
        <w:ind w:left="567" w:hanging="567"/>
        <w:contextualSpacing w:val="0"/>
        <w:rPr>
          <w:sz w:val="24"/>
        </w:rPr>
      </w:pPr>
      <w:r w:rsidRPr="00021FFC">
        <w:rPr>
          <w:sz w:val="24"/>
        </w:rPr>
        <w:t>The 201</w:t>
      </w:r>
      <w:r w:rsidR="00EF6642">
        <w:rPr>
          <w:sz w:val="24"/>
        </w:rPr>
        <w:t>7</w:t>
      </w:r>
      <w:r w:rsidRPr="00021FFC">
        <w:rPr>
          <w:sz w:val="24"/>
        </w:rPr>
        <w:t>/1</w:t>
      </w:r>
      <w:r w:rsidR="00EF6642">
        <w:rPr>
          <w:sz w:val="24"/>
        </w:rPr>
        <w:t>8</w:t>
      </w:r>
      <w:r>
        <w:rPr>
          <w:sz w:val="24"/>
        </w:rPr>
        <w:t xml:space="preserve"> budget </w:t>
      </w:r>
      <w:r w:rsidR="00DB759C">
        <w:rPr>
          <w:sz w:val="24"/>
        </w:rPr>
        <w:t xml:space="preserve">was </w:t>
      </w:r>
      <w:r>
        <w:rPr>
          <w:sz w:val="24"/>
        </w:rPr>
        <w:t>approved by t</w:t>
      </w:r>
      <w:r w:rsidR="00EF6642">
        <w:rPr>
          <w:sz w:val="24"/>
        </w:rPr>
        <w:t>he Authority at its meeting on 30</w:t>
      </w:r>
      <w:r>
        <w:rPr>
          <w:sz w:val="24"/>
        </w:rPr>
        <w:t xml:space="preserve"> March 201</w:t>
      </w:r>
      <w:r w:rsidR="00EF6642">
        <w:rPr>
          <w:sz w:val="24"/>
        </w:rPr>
        <w:t>7</w:t>
      </w:r>
      <w:r>
        <w:rPr>
          <w:sz w:val="24"/>
        </w:rPr>
        <w:t xml:space="preserve"> (FEP</w:t>
      </w:r>
      <w:r w:rsidR="009D7777">
        <w:rPr>
          <w:sz w:val="24"/>
        </w:rPr>
        <w:t xml:space="preserve"> </w:t>
      </w:r>
      <w:r>
        <w:rPr>
          <w:sz w:val="24"/>
        </w:rPr>
        <w:t>2</w:t>
      </w:r>
      <w:r w:rsidR="00EF6642">
        <w:rPr>
          <w:sz w:val="24"/>
        </w:rPr>
        <w:t>708</w:t>
      </w:r>
      <w:r>
        <w:rPr>
          <w:sz w:val="24"/>
        </w:rPr>
        <w:t>). The Authority’s net reve</w:t>
      </w:r>
      <w:r w:rsidR="00B60866">
        <w:rPr>
          <w:sz w:val="24"/>
        </w:rPr>
        <w:t>nue budget is £</w:t>
      </w:r>
      <w:r w:rsidR="00EF6642">
        <w:rPr>
          <w:sz w:val="24"/>
        </w:rPr>
        <w:t>39</w:t>
      </w:r>
      <w:r w:rsidR="00B20FF2">
        <w:rPr>
          <w:sz w:val="24"/>
        </w:rPr>
        <w:t>0,708</w:t>
      </w:r>
      <w:r w:rsidR="00B60866">
        <w:rPr>
          <w:sz w:val="24"/>
        </w:rPr>
        <w:t xml:space="preserve">k, with </w:t>
      </w:r>
      <w:r w:rsidR="00EF6642">
        <w:rPr>
          <w:sz w:val="24"/>
        </w:rPr>
        <w:t xml:space="preserve">a net payment of </w:t>
      </w:r>
      <w:r w:rsidR="00B60866">
        <w:rPr>
          <w:sz w:val="24"/>
        </w:rPr>
        <w:t>£</w:t>
      </w:r>
      <w:r w:rsidR="00B20FF2">
        <w:rPr>
          <w:sz w:val="24"/>
        </w:rPr>
        <w:t>4,062</w:t>
      </w:r>
      <w:r w:rsidR="00B60866">
        <w:rPr>
          <w:sz w:val="24"/>
        </w:rPr>
        <w:t xml:space="preserve">k </w:t>
      </w:r>
      <w:r w:rsidR="00EF6642">
        <w:rPr>
          <w:sz w:val="24"/>
        </w:rPr>
        <w:t xml:space="preserve">into </w:t>
      </w:r>
      <w:r w:rsidR="00B60866">
        <w:rPr>
          <w:sz w:val="24"/>
        </w:rPr>
        <w:t>earmarked reserves, £12,</w:t>
      </w:r>
      <w:r w:rsidR="00B20FF2">
        <w:rPr>
          <w:sz w:val="24"/>
        </w:rPr>
        <w:t>342</w:t>
      </w:r>
      <w:r w:rsidR="00B60866">
        <w:rPr>
          <w:sz w:val="24"/>
        </w:rPr>
        <w:t>k funding from specific grants and</w:t>
      </w:r>
      <w:r w:rsidR="00EF6642">
        <w:rPr>
          <w:sz w:val="24"/>
        </w:rPr>
        <w:t xml:space="preserve"> </w:t>
      </w:r>
      <w:r w:rsidR="00B60866">
        <w:rPr>
          <w:sz w:val="24"/>
        </w:rPr>
        <w:t>savings of £</w:t>
      </w:r>
      <w:r w:rsidR="00EF6642">
        <w:rPr>
          <w:sz w:val="24"/>
        </w:rPr>
        <w:t>7,665</w:t>
      </w:r>
      <w:r w:rsidR="00B60866">
        <w:rPr>
          <w:sz w:val="24"/>
        </w:rPr>
        <w:t>k.</w:t>
      </w:r>
    </w:p>
    <w:p w:rsidR="00B60866" w:rsidRDefault="00B60866" w:rsidP="003D479B">
      <w:pPr>
        <w:pStyle w:val="ListParagraph"/>
        <w:numPr>
          <w:ilvl w:val="0"/>
          <w:numId w:val="160"/>
        </w:numPr>
        <w:ind w:left="567" w:hanging="567"/>
        <w:contextualSpacing w:val="0"/>
        <w:rPr>
          <w:sz w:val="24"/>
        </w:rPr>
      </w:pPr>
      <w:r>
        <w:rPr>
          <w:sz w:val="24"/>
        </w:rPr>
        <w:t>This report sets out a summary position on both the revenue and capital budgets, and then provides more detailed explanations of variances.</w:t>
      </w:r>
      <w:r w:rsidR="006264E6">
        <w:rPr>
          <w:sz w:val="24"/>
        </w:rPr>
        <w:t xml:space="preserve"> </w:t>
      </w:r>
    </w:p>
    <w:p w:rsidR="007C2049" w:rsidRDefault="004F7D9D" w:rsidP="00935322">
      <w:pPr>
        <w:pStyle w:val="NumbList"/>
        <w:numPr>
          <w:ilvl w:val="0"/>
          <w:numId w:val="0"/>
        </w:numPr>
        <w:spacing w:after="0"/>
        <w:contextualSpacing/>
        <w:rPr>
          <w:b/>
          <w:sz w:val="24"/>
        </w:rPr>
      </w:pPr>
      <w:r>
        <w:rPr>
          <w:b/>
          <w:sz w:val="24"/>
        </w:rPr>
        <w:t>Revenue</w:t>
      </w:r>
    </w:p>
    <w:p w:rsidR="00724120" w:rsidRPr="006569B0" w:rsidRDefault="00DB759C" w:rsidP="003D479B">
      <w:pPr>
        <w:pStyle w:val="ListParagraph"/>
        <w:numPr>
          <w:ilvl w:val="0"/>
          <w:numId w:val="160"/>
        </w:numPr>
        <w:ind w:left="567" w:hanging="567"/>
        <w:contextualSpacing w:val="0"/>
        <w:rPr>
          <w:sz w:val="24"/>
        </w:rPr>
      </w:pPr>
      <w:r w:rsidRPr="00B961C4">
        <w:rPr>
          <w:sz w:val="24"/>
        </w:rPr>
        <w:t xml:space="preserve">The </w:t>
      </w:r>
      <w:r w:rsidR="00EF6642" w:rsidRPr="00B961C4">
        <w:rPr>
          <w:sz w:val="24"/>
        </w:rPr>
        <w:t xml:space="preserve">forecast </w:t>
      </w:r>
      <w:r w:rsidRPr="00B961C4">
        <w:rPr>
          <w:sz w:val="24"/>
        </w:rPr>
        <w:t xml:space="preserve">outturn </w:t>
      </w:r>
      <w:r w:rsidR="000E4029" w:rsidRPr="00B961C4">
        <w:rPr>
          <w:sz w:val="24"/>
        </w:rPr>
        <w:t xml:space="preserve">position </w:t>
      </w:r>
      <w:r w:rsidR="00EF6642" w:rsidRPr="00B961C4">
        <w:rPr>
          <w:sz w:val="24"/>
        </w:rPr>
        <w:t>for 2017</w:t>
      </w:r>
      <w:r w:rsidRPr="00B961C4">
        <w:rPr>
          <w:sz w:val="24"/>
        </w:rPr>
        <w:t>/1</w:t>
      </w:r>
      <w:r w:rsidR="00EF6642" w:rsidRPr="00B961C4">
        <w:rPr>
          <w:sz w:val="24"/>
        </w:rPr>
        <w:t>8</w:t>
      </w:r>
      <w:r w:rsidRPr="00B961C4">
        <w:rPr>
          <w:sz w:val="24"/>
        </w:rPr>
        <w:t xml:space="preserve"> on the revenue budget is an underspend </w:t>
      </w:r>
      <w:r w:rsidR="000E4029" w:rsidRPr="00B961C4">
        <w:rPr>
          <w:sz w:val="24"/>
        </w:rPr>
        <w:t>o</w:t>
      </w:r>
      <w:r w:rsidRPr="00B961C4">
        <w:rPr>
          <w:sz w:val="24"/>
        </w:rPr>
        <w:t>f £</w:t>
      </w:r>
      <w:r w:rsidR="001068C1">
        <w:rPr>
          <w:sz w:val="24"/>
        </w:rPr>
        <w:t>4,</w:t>
      </w:r>
      <w:r w:rsidR="003D479B">
        <w:rPr>
          <w:sz w:val="24"/>
        </w:rPr>
        <w:t>73</w:t>
      </w:r>
      <w:r w:rsidR="001068C1">
        <w:rPr>
          <w:sz w:val="24"/>
        </w:rPr>
        <w:t>0</w:t>
      </w:r>
      <w:r w:rsidR="005F4979" w:rsidRPr="00B961C4">
        <w:rPr>
          <w:sz w:val="24"/>
        </w:rPr>
        <w:t xml:space="preserve">k </w:t>
      </w:r>
      <w:r w:rsidR="006446F2" w:rsidRPr="00B961C4">
        <w:rPr>
          <w:sz w:val="24"/>
        </w:rPr>
        <w:t>(</w:t>
      </w:r>
      <w:r w:rsidR="00BF6034" w:rsidRPr="00B961C4">
        <w:rPr>
          <w:sz w:val="24"/>
        </w:rPr>
        <w:t>1.</w:t>
      </w:r>
      <w:r w:rsidR="003D479B">
        <w:rPr>
          <w:sz w:val="24"/>
        </w:rPr>
        <w:t>2</w:t>
      </w:r>
      <w:r w:rsidR="006446F2" w:rsidRPr="00B961C4">
        <w:rPr>
          <w:sz w:val="24"/>
        </w:rPr>
        <w:t>%)</w:t>
      </w:r>
      <w:r w:rsidR="00350054">
        <w:rPr>
          <w:sz w:val="24"/>
        </w:rPr>
        <w:t xml:space="preserve">. This is </w:t>
      </w:r>
      <w:r w:rsidR="00B60C3D" w:rsidRPr="00B961C4">
        <w:rPr>
          <w:sz w:val="24"/>
        </w:rPr>
        <w:t xml:space="preserve">largely </w:t>
      </w:r>
      <w:r w:rsidR="00322239" w:rsidRPr="00B961C4">
        <w:rPr>
          <w:sz w:val="24"/>
        </w:rPr>
        <w:t>due to variances previously reported</w:t>
      </w:r>
      <w:r w:rsidR="00B60C3D" w:rsidRPr="00935322">
        <w:rPr>
          <w:sz w:val="24"/>
        </w:rPr>
        <w:t xml:space="preserve"> </w:t>
      </w:r>
      <w:r w:rsidR="00350054">
        <w:rPr>
          <w:sz w:val="24"/>
        </w:rPr>
        <w:t xml:space="preserve">to the Resources Committee in November (FEP 2792). </w:t>
      </w:r>
      <w:r w:rsidR="00175FAF">
        <w:rPr>
          <w:sz w:val="24"/>
        </w:rPr>
        <w:t xml:space="preserve">At the end of Quarter 2, the forecast outturn variance reported was £5,285k </w:t>
      </w:r>
      <w:r w:rsidR="00C07016">
        <w:rPr>
          <w:sz w:val="24"/>
        </w:rPr>
        <w:t>which included</w:t>
      </w:r>
      <w:r w:rsidR="00175FAF">
        <w:rPr>
          <w:sz w:val="24"/>
        </w:rPr>
        <w:t xml:space="preserve">  £4,703k on</w:t>
      </w:r>
      <w:r w:rsidR="00B60C3D" w:rsidRPr="00B961C4">
        <w:rPr>
          <w:sz w:val="24"/>
        </w:rPr>
        <w:t xml:space="preserve"> </w:t>
      </w:r>
      <w:r w:rsidR="000340AD" w:rsidRPr="00B961C4">
        <w:rPr>
          <w:sz w:val="24"/>
        </w:rPr>
        <w:t>operational</w:t>
      </w:r>
      <w:r w:rsidR="00B60C3D" w:rsidRPr="00B961C4">
        <w:rPr>
          <w:sz w:val="24"/>
        </w:rPr>
        <w:t xml:space="preserve"> staff budgets</w:t>
      </w:r>
      <w:r w:rsidR="00175FAF">
        <w:rPr>
          <w:sz w:val="24"/>
        </w:rPr>
        <w:t xml:space="preserve"> </w:t>
      </w:r>
      <w:r w:rsidR="00B60C3D" w:rsidRPr="00B961C4">
        <w:rPr>
          <w:sz w:val="24"/>
        </w:rPr>
        <w:t xml:space="preserve">based on </w:t>
      </w:r>
      <w:r w:rsidR="00453E56" w:rsidRPr="00B961C4">
        <w:rPr>
          <w:sz w:val="24"/>
        </w:rPr>
        <w:t xml:space="preserve">the </w:t>
      </w:r>
      <w:r w:rsidR="00B60C3D" w:rsidRPr="00B961C4">
        <w:rPr>
          <w:sz w:val="24"/>
        </w:rPr>
        <w:t>expected operational staff numbers given foreca</w:t>
      </w:r>
      <w:r w:rsidR="00B85D5C" w:rsidRPr="00B961C4">
        <w:rPr>
          <w:sz w:val="24"/>
        </w:rPr>
        <w:t>sts for recruitment and leavers</w:t>
      </w:r>
      <w:r w:rsidR="002E1426">
        <w:rPr>
          <w:sz w:val="24"/>
        </w:rPr>
        <w:t xml:space="preserve"> </w:t>
      </w:r>
      <w:r w:rsidR="000A4BA9">
        <w:rPr>
          <w:sz w:val="24"/>
        </w:rPr>
        <w:t>and</w:t>
      </w:r>
      <w:r w:rsidR="000A4BA9" w:rsidRPr="000A4BA9">
        <w:rPr>
          <w:sz w:val="24"/>
        </w:rPr>
        <w:t xml:space="preserve"> a one-off budget of £830k that was created in 2017/18 to fund costs involved in offering inoculations to staff</w:t>
      </w:r>
      <w:r w:rsidR="00803780">
        <w:rPr>
          <w:sz w:val="24"/>
        </w:rPr>
        <w:t>. This one off budget</w:t>
      </w:r>
      <w:r w:rsidR="006569B0">
        <w:rPr>
          <w:sz w:val="24"/>
        </w:rPr>
        <w:t xml:space="preserve"> was</w:t>
      </w:r>
      <w:r w:rsidR="00803780">
        <w:rPr>
          <w:sz w:val="24"/>
        </w:rPr>
        <w:t xml:space="preserve"> based on</w:t>
      </w:r>
      <w:r w:rsidR="000A4BA9" w:rsidRPr="000A4BA9">
        <w:rPr>
          <w:sz w:val="24"/>
        </w:rPr>
        <w:t xml:space="preserve"> co-responding being rolled </w:t>
      </w:r>
      <w:r w:rsidR="004A532F">
        <w:rPr>
          <w:sz w:val="24"/>
        </w:rPr>
        <w:t xml:space="preserve">out across the </w:t>
      </w:r>
      <w:r w:rsidR="00495B18">
        <w:rPr>
          <w:sz w:val="24"/>
        </w:rPr>
        <w:t>B</w:t>
      </w:r>
      <w:r w:rsidR="004A532F">
        <w:rPr>
          <w:sz w:val="24"/>
        </w:rPr>
        <w:t>rigade</w:t>
      </w:r>
      <w:r w:rsidR="00495B18">
        <w:rPr>
          <w:sz w:val="24"/>
        </w:rPr>
        <w:t>. It</w:t>
      </w:r>
      <w:r w:rsidR="00830245">
        <w:rPr>
          <w:sz w:val="24"/>
        </w:rPr>
        <w:t xml:space="preserve"> </w:t>
      </w:r>
      <w:r w:rsidR="00803780">
        <w:rPr>
          <w:sz w:val="24"/>
        </w:rPr>
        <w:t xml:space="preserve">is </w:t>
      </w:r>
      <w:r w:rsidR="004A532F" w:rsidRPr="006569B0">
        <w:rPr>
          <w:sz w:val="24"/>
        </w:rPr>
        <w:t xml:space="preserve">now </w:t>
      </w:r>
      <w:r w:rsidR="000A4BA9" w:rsidRPr="006569B0">
        <w:rPr>
          <w:sz w:val="24"/>
        </w:rPr>
        <w:t>no longer forecast to be spent in this financial year</w:t>
      </w:r>
      <w:r w:rsidR="00173447" w:rsidRPr="006569B0">
        <w:rPr>
          <w:sz w:val="24"/>
        </w:rPr>
        <w:t xml:space="preserve"> and</w:t>
      </w:r>
      <w:r w:rsidR="00803780">
        <w:rPr>
          <w:sz w:val="24"/>
        </w:rPr>
        <w:t xml:space="preserve"> will be</w:t>
      </w:r>
      <w:r w:rsidR="00173447" w:rsidRPr="006569B0">
        <w:rPr>
          <w:sz w:val="24"/>
        </w:rPr>
        <w:t xml:space="preserve"> </w:t>
      </w:r>
      <w:r w:rsidR="000A4BA9" w:rsidRPr="006569B0">
        <w:rPr>
          <w:sz w:val="24"/>
        </w:rPr>
        <w:t xml:space="preserve">transferred to an </w:t>
      </w:r>
      <w:r w:rsidR="00803780">
        <w:rPr>
          <w:sz w:val="24"/>
        </w:rPr>
        <w:t>e</w:t>
      </w:r>
      <w:r w:rsidR="00935322" w:rsidRPr="006569B0">
        <w:rPr>
          <w:sz w:val="24"/>
        </w:rPr>
        <w:t>armarked r</w:t>
      </w:r>
      <w:r w:rsidR="000A4BA9" w:rsidRPr="006569B0">
        <w:rPr>
          <w:sz w:val="24"/>
        </w:rPr>
        <w:t>eserve to cover the planned spend in 2018/19.</w:t>
      </w:r>
    </w:p>
    <w:p w:rsidR="00612E9D" w:rsidRDefault="004C27EE" w:rsidP="003D479B">
      <w:pPr>
        <w:pStyle w:val="NumbList"/>
        <w:numPr>
          <w:ilvl w:val="0"/>
          <w:numId w:val="160"/>
        </w:numPr>
        <w:ind w:left="567" w:hanging="567"/>
        <w:rPr>
          <w:sz w:val="24"/>
        </w:rPr>
      </w:pPr>
      <w:r w:rsidRPr="005D32A4">
        <w:rPr>
          <w:sz w:val="24"/>
        </w:rPr>
        <w:t>T</w:t>
      </w:r>
      <w:r w:rsidR="00CA7DC3" w:rsidRPr="005D32A4">
        <w:rPr>
          <w:sz w:val="24"/>
        </w:rPr>
        <w:t>h</w:t>
      </w:r>
      <w:r w:rsidR="00B85D5C" w:rsidRPr="005D32A4">
        <w:rPr>
          <w:sz w:val="24"/>
        </w:rPr>
        <w:t>e forecast underspend of £</w:t>
      </w:r>
      <w:r w:rsidR="001068C1">
        <w:rPr>
          <w:sz w:val="24"/>
        </w:rPr>
        <w:t>4,</w:t>
      </w:r>
      <w:r w:rsidR="004336C0">
        <w:rPr>
          <w:sz w:val="24"/>
        </w:rPr>
        <w:t>73</w:t>
      </w:r>
      <w:r w:rsidR="001068C1">
        <w:rPr>
          <w:sz w:val="24"/>
        </w:rPr>
        <w:t>0</w:t>
      </w:r>
      <w:r w:rsidR="005F4979" w:rsidRPr="005D32A4">
        <w:rPr>
          <w:sz w:val="24"/>
        </w:rPr>
        <w:t xml:space="preserve">k </w:t>
      </w:r>
      <w:r w:rsidR="00CA7DC3" w:rsidRPr="005D32A4">
        <w:rPr>
          <w:sz w:val="24"/>
        </w:rPr>
        <w:t xml:space="preserve">has </w:t>
      </w:r>
      <w:r w:rsidR="00A7304A" w:rsidRPr="005D32A4">
        <w:rPr>
          <w:sz w:val="24"/>
        </w:rPr>
        <w:t>reduced</w:t>
      </w:r>
      <w:r w:rsidR="00CA7DC3" w:rsidRPr="005D32A4">
        <w:rPr>
          <w:sz w:val="24"/>
        </w:rPr>
        <w:t xml:space="preserve"> by £</w:t>
      </w:r>
      <w:r w:rsidR="004336C0">
        <w:rPr>
          <w:sz w:val="24"/>
        </w:rPr>
        <w:t>55</w:t>
      </w:r>
      <w:r w:rsidR="001068C1">
        <w:rPr>
          <w:sz w:val="24"/>
        </w:rPr>
        <w:t>5</w:t>
      </w:r>
      <w:r w:rsidR="005F4979" w:rsidRPr="005D32A4">
        <w:rPr>
          <w:sz w:val="24"/>
        </w:rPr>
        <w:t xml:space="preserve">k </w:t>
      </w:r>
      <w:r w:rsidR="00CA7DC3" w:rsidRPr="005D32A4">
        <w:rPr>
          <w:sz w:val="24"/>
        </w:rPr>
        <w:t xml:space="preserve">since last reported to </w:t>
      </w:r>
      <w:r w:rsidRPr="005D32A4">
        <w:rPr>
          <w:sz w:val="24"/>
        </w:rPr>
        <w:t xml:space="preserve">the Resources Committee in </w:t>
      </w:r>
      <w:r w:rsidR="000B29F6" w:rsidRPr="005D32A4">
        <w:rPr>
          <w:sz w:val="24"/>
        </w:rPr>
        <w:t>November</w:t>
      </w:r>
      <w:r w:rsidRPr="005D32A4">
        <w:rPr>
          <w:sz w:val="24"/>
        </w:rPr>
        <w:t xml:space="preserve"> (FEP 27</w:t>
      </w:r>
      <w:r w:rsidR="000B29F6" w:rsidRPr="005D32A4">
        <w:rPr>
          <w:sz w:val="24"/>
        </w:rPr>
        <w:t>9</w:t>
      </w:r>
      <w:r w:rsidRPr="005D32A4">
        <w:rPr>
          <w:sz w:val="24"/>
        </w:rPr>
        <w:t>2)</w:t>
      </w:r>
      <w:r w:rsidR="006446F2" w:rsidRPr="005D32A4">
        <w:rPr>
          <w:sz w:val="24"/>
        </w:rPr>
        <w:t>.</w:t>
      </w:r>
      <w:r w:rsidR="00683D0C" w:rsidRPr="005D32A4">
        <w:rPr>
          <w:sz w:val="24"/>
        </w:rPr>
        <w:t xml:space="preserve"> </w:t>
      </w:r>
      <w:r w:rsidR="00CA7DC3" w:rsidRPr="005D32A4">
        <w:rPr>
          <w:sz w:val="24"/>
        </w:rPr>
        <w:t xml:space="preserve">The </w:t>
      </w:r>
      <w:r w:rsidR="000B29F6" w:rsidRPr="005D32A4">
        <w:rPr>
          <w:sz w:val="24"/>
        </w:rPr>
        <w:t>de</w:t>
      </w:r>
      <w:r w:rsidR="00CA7DC3" w:rsidRPr="005D32A4">
        <w:rPr>
          <w:sz w:val="24"/>
        </w:rPr>
        <w:t>crease</w:t>
      </w:r>
      <w:r w:rsidR="007257F5" w:rsidRPr="005D32A4">
        <w:rPr>
          <w:sz w:val="24"/>
        </w:rPr>
        <w:t xml:space="preserve"> </w:t>
      </w:r>
      <w:r w:rsidR="00725ED2">
        <w:rPr>
          <w:sz w:val="24"/>
        </w:rPr>
        <w:t xml:space="preserve">in the forecast underspend includes the impact of </w:t>
      </w:r>
      <w:r w:rsidR="0080158C" w:rsidRPr="00660C16">
        <w:rPr>
          <w:sz w:val="24"/>
        </w:rPr>
        <w:t>increase</w:t>
      </w:r>
      <w:r w:rsidR="00725ED2">
        <w:rPr>
          <w:sz w:val="24"/>
        </w:rPr>
        <w:t>s</w:t>
      </w:r>
      <w:r w:rsidR="0080158C" w:rsidRPr="00660C16">
        <w:rPr>
          <w:sz w:val="24"/>
        </w:rPr>
        <w:t xml:space="preserve"> in overtime costs </w:t>
      </w:r>
      <w:r w:rsidR="00495B18">
        <w:rPr>
          <w:sz w:val="24"/>
        </w:rPr>
        <w:t xml:space="preserve">(£542k) </w:t>
      </w:r>
      <w:r w:rsidR="0080158C" w:rsidRPr="00660C16">
        <w:rPr>
          <w:sz w:val="24"/>
        </w:rPr>
        <w:t>as a result of the high num</w:t>
      </w:r>
      <w:r w:rsidR="009F0860" w:rsidRPr="00660C16">
        <w:rPr>
          <w:sz w:val="24"/>
        </w:rPr>
        <w:t>ber of vacancies</w:t>
      </w:r>
      <w:r w:rsidR="00417418">
        <w:rPr>
          <w:sz w:val="24"/>
        </w:rPr>
        <w:t xml:space="preserve">, </w:t>
      </w:r>
      <w:r w:rsidR="00495B18">
        <w:rPr>
          <w:sz w:val="24"/>
        </w:rPr>
        <w:t xml:space="preserve">and </w:t>
      </w:r>
      <w:r w:rsidR="001C108E" w:rsidRPr="00776212">
        <w:rPr>
          <w:sz w:val="24"/>
        </w:rPr>
        <w:t>additional spend on operational equipment</w:t>
      </w:r>
      <w:r w:rsidR="002C3C96">
        <w:rPr>
          <w:sz w:val="24"/>
        </w:rPr>
        <w:t xml:space="preserve"> and other supplies and services</w:t>
      </w:r>
      <w:r w:rsidR="000F1C57">
        <w:rPr>
          <w:sz w:val="24"/>
        </w:rPr>
        <w:t xml:space="preserve"> (£776k)</w:t>
      </w:r>
      <w:r w:rsidR="00495B18">
        <w:rPr>
          <w:sz w:val="24"/>
        </w:rPr>
        <w:t>.</w:t>
      </w:r>
      <w:r w:rsidR="00FE3B46">
        <w:rPr>
          <w:sz w:val="24"/>
        </w:rPr>
        <w:t xml:space="preserve">There is also an </w:t>
      </w:r>
      <w:r w:rsidR="00612E9D">
        <w:rPr>
          <w:sz w:val="24"/>
        </w:rPr>
        <w:t>overspend (£231k)</w:t>
      </w:r>
      <w:r w:rsidR="00612E9D" w:rsidRPr="00612E9D">
        <w:rPr>
          <w:sz w:val="24"/>
        </w:rPr>
        <w:t xml:space="preserve"> on compensation budgets due to a number of large value personal injury cases</w:t>
      </w:r>
      <w:r w:rsidR="00495B18">
        <w:rPr>
          <w:sz w:val="24"/>
        </w:rPr>
        <w:t>. There has been additional spend</w:t>
      </w:r>
      <w:r w:rsidR="00612E9D">
        <w:rPr>
          <w:sz w:val="24"/>
        </w:rPr>
        <w:t xml:space="preserve"> </w:t>
      </w:r>
      <w:r w:rsidR="00492593">
        <w:rPr>
          <w:sz w:val="24"/>
        </w:rPr>
        <w:t>o</w:t>
      </w:r>
      <w:r w:rsidR="00FE3B46">
        <w:rPr>
          <w:sz w:val="24"/>
        </w:rPr>
        <w:t xml:space="preserve">n </w:t>
      </w:r>
      <w:r w:rsidR="00725ED2">
        <w:rPr>
          <w:sz w:val="24"/>
        </w:rPr>
        <w:t>p</w:t>
      </w:r>
      <w:r w:rsidR="00FE3B46">
        <w:rPr>
          <w:sz w:val="24"/>
        </w:rPr>
        <w:t>remises</w:t>
      </w:r>
      <w:r w:rsidR="00CC504A" w:rsidRPr="00660C16">
        <w:rPr>
          <w:sz w:val="24"/>
        </w:rPr>
        <w:t xml:space="preserve"> </w:t>
      </w:r>
      <w:r w:rsidR="00725ED2">
        <w:rPr>
          <w:sz w:val="24"/>
        </w:rPr>
        <w:t xml:space="preserve">budgets </w:t>
      </w:r>
      <w:r w:rsidR="00660C16">
        <w:rPr>
          <w:sz w:val="24"/>
        </w:rPr>
        <w:t>(</w:t>
      </w:r>
      <w:r w:rsidR="009F0860" w:rsidRPr="00660C16">
        <w:rPr>
          <w:sz w:val="24"/>
        </w:rPr>
        <w:t>£1,075k</w:t>
      </w:r>
      <w:r w:rsidR="00660C16">
        <w:rPr>
          <w:sz w:val="24"/>
        </w:rPr>
        <w:t>)</w:t>
      </w:r>
      <w:r w:rsidR="009F0860" w:rsidRPr="00660C16">
        <w:rPr>
          <w:sz w:val="24"/>
        </w:rPr>
        <w:t xml:space="preserve"> following the decision to progress a backlog of works aimed at improving the overall condition of the whole estate including repairs, refurbishment and minor improvements to properties</w:t>
      </w:r>
      <w:r w:rsidR="00725ED2">
        <w:rPr>
          <w:sz w:val="24"/>
        </w:rPr>
        <w:t>,</w:t>
      </w:r>
      <w:r w:rsidR="0055343A">
        <w:rPr>
          <w:sz w:val="24"/>
        </w:rPr>
        <w:t xml:space="preserve"> </w:t>
      </w:r>
      <w:r w:rsidR="00495B18">
        <w:rPr>
          <w:sz w:val="24"/>
        </w:rPr>
        <w:t xml:space="preserve">and </w:t>
      </w:r>
      <w:r w:rsidR="0055343A">
        <w:rPr>
          <w:sz w:val="24"/>
        </w:rPr>
        <w:t>(£130k)</w:t>
      </w:r>
      <w:r w:rsidR="005A0A25">
        <w:rPr>
          <w:sz w:val="24"/>
        </w:rPr>
        <w:t xml:space="preserve"> on rent due to the </w:t>
      </w:r>
      <w:r w:rsidR="005A0A25" w:rsidRPr="005A0A25">
        <w:rPr>
          <w:sz w:val="24"/>
        </w:rPr>
        <w:t>short term renewal of the lease for the existing B</w:t>
      </w:r>
      <w:r w:rsidR="001D0131">
        <w:rPr>
          <w:sz w:val="24"/>
        </w:rPr>
        <w:t xml:space="preserve">rigade Distribution Centre lease </w:t>
      </w:r>
      <w:r w:rsidR="005A0A25">
        <w:rPr>
          <w:sz w:val="24"/>
        </w:rPr>
        <w:t>f</w:t>
      </w:r>
      <w:r w:rsidR="00C27DFE" w:rsidRPr="00C27DFE">
        <w:rPr>
          <w:sz w:val="24"/>
        </w:rPr>
        <w:t xml:space="preserve">ollowing the </w:t>
      </w:r>
      <w:r w:rsidR="005A0A25">
        <w:rPr>
          <w:sz w:val="24"/>
        </w:rPr>
        <w:t xml:space="preserve">update </w:t>
      </w:r>
      <w:r w:rsidR="001E2FB9">
        <w:rPr>
          <w:sz w:val="24"/>
        </w:rPr>
        <w:t xml:space="preserve">to the previous meeting of this Committee </w:t>
      </w:r>
      <w:r w:rsidR="005A0A25">
        <w:rPr>
          <w:sz w:val="24"/>
        </w:rPr>
        <w:t>on</w:t>
      </w:r>
      <w:r w:rsidR="00C27DFE" w:rsidRPr="00C27DFE">
        <w:rPr>
          <w:sz w:val="24"/>
        </w:rPr>
        <w:t xml:space="preserve"> the </w:t>
      </w:r>
      <w:r w:rsidR="005B57F1" w:rsidRPr="005B57F1">
        <w:rPr>
          <w:sz w:val="24"/>
        </w:rPr>
        <w:t xml:space="preserve">Integrated Equipment &amp; Logistics Project </w:t>
      </w:r>
      <w:r w:rsidR="00916972">
        <w:rPr>
          <w:sz w:val="24"/>
        </w:rPr>
        <w:t>(FEP2812</w:t>
      </w:r>
      <w:r w:rsidR="005A0A25">
        <w:rPr>
          <w:sz w:val="24"/>
        </w:rPr>
        <w:t>)</w:t>
      </w:r>
      <w:r w:rsidR="00CF7207">
        <w:rPr>
          <w:sz w:val="24"/>
        </w:rPr>
        <w:t>.</w:t>
      </w:r>
      <w:r w:rsidR="00C27DFE" w:rsidRPr="00C27DFE" w:rsidDel="00C27DFE">
        <w:rPr>
          <w:sz w:val="24"/>
        </w:rPr>
        <w:t xml:space="preserve"> </w:t>
      </w:r>
    </w:p>
    <w:p w:rsidR="00660C16" w:rsidRPr="001C108E" w:rsidRDefault="00803CAE" w:rsidP="003D479B">
      <w:pPr>
        <w:pStyle w:val="NumbList"/>
        <w:numPr>
          <w:ilvl w:val="0"/>
          <w:numId w:val="160"/>
        </w:numPr>
        <w:ind w:left="567" w:hanging="567"/>
        <w:rPr>
          <w:sz w:val="24"/>
        </w:rPr>
      </w:pPr>
      <w:r w:rsidRPr="005D32A4">
        <w:rPr>
          <w:sz w:val="24"/>
        </w:rPr>
        <w:t>The</w:t>
      </w:r>
      <w:r w:rsidR="00612E9D">
        <w:rPr>
          <w:sz w:val="24"/>
        </w:rPr>
        <w:t xml:space="preserve"> above overspends are offset </w:t>
      </w:r>
      <w:r w:rsidR="00382C7D" w:rsidRPr="005D32A4">
        <w:rPr>
          <w:sz w:val="24"/>
        </w:rPr>
        <w:t>by</w:t>
      </w:r>
      <w:r w:rsidR="009F7F39" w:rsidRPr="005D32A4">
        <w:rPr>
          <w:sz w:val="24"/>
        </w:rPr>
        <w:t xml:space="preserve"> </w:t>
      </w:r>
      <w:r w:rsidR="0043299C">
        <w:rPr>
          <w:sz w:val="24"/>
        </w:rPr>
        <w:t xml:space="preserve">an </w:t>
      </w:r>
      <w:r w:rsidR="009F7F39" w:rsidRPr="005D32A4">
        <w:rPr>
          <w:sz w:val="24"/>
        </w:rPr>
        <w:t>additional</w:t>
      </w:r>
      <w:r w:rsidR="00526125" w:rsidRPr="005D32A4">
        <w:rPr>
          <w:sz w:val="24"/>
        </w:rPr>
        <w:t xml:space="preserve"> underspend on property rates </w:t>
      </w:r>
      <w:r w:rsidR="0043299C">
        <w:rPr>
          <w:sz w:val="24"/>
        </w:rPr>
        <w:t>(</w:t>
      </w:r>
      <w:r w:rsidR="00CC504A" w:rsidRPr="005D32A4">
        <w:rPr>
          <w:sz w:val="24"/>
        </w:rPr>
        <w:t>£2,017k</w:t>
      </w:r>
      <w:r w:rsidR="0043299C">
        <w:rPr>
          <w:sz w:val="24"/>
        </w:rPr>
        <w:t>)</w:t>
      </w:r>
      <w:r w:rsidR="00CC504A" w:rsidRPr="005D32A4">
        <w:rPr>
          <w:sz w:val="24"/>
        </w:rPr>
        <w:t xml:space="preserve"> due to </w:t>
      </w:r>
      <w:r w:rsidR="00074232" w:rsidRPr="001C108E">
        <w:rPr>
          <w:sz w:val="24"/>
        </w:rPr>
        <w:t>a</w:t>
      </w:r>
      <w:r w:rsidR="0043299C">
        <w:rPr>
          <w:sz w:val="24"/>
        </w:rPr>
        <w:t xml:space="preserve"> successful</w:t>
      </w:r>
      <w:r w:rsidR="00074232" w:rsidRPr="001C108E">
        <w:rPr>
          <w:sz w:val="24"/>
        </w:rPr>
        <w:t xml:space="preserve"> appeal</w:t>
      </w:r>
      <w:r w:rsidR="0043299C">
        <w:rPr>
          <w:sz w:val="24"/>
        </w:rPr>
        <w:t xml:space="preserve"> that was</w:t>
      </w:r>
      <w:r w:rsidR="00074232" w:rsidRPr="001C108E">
        <w:rPr>
          <w:sz w:val="24"/>
        </w:rPr>
        <w:t xml:space="preserve"> lodged by the Estates Management consultant </w:t>
      </w:r>
      <w:r w:rsidR="009F0860" w:rsidRPr="001C108E">
        <w:rPr>
          <w:sz w:val="24"/>
        </w:rPr>
        <w:t>for the 2010 valuations</w:t>
      </w:r>
      <w:r w:rsidR="0043299C">
        <w:rPr>
          <w:sz w:val="24"/>
        </w:rPr>
        <w:t>. This had previously been included as</w:t>
      </w:r>
      <w:r w:rsidR="00A5330F" w:rsidRPr="005D32A4">
        <w:rPr>
          <w:sz w:val="24"/>
        </w:rPr>
        <w:t xml:space="preserve"> </w:t>
      </w:r>
      <w:r w:rsidR="0043299C">
        <w:rPr>
          <w:sz w:val="24"/>
        </w:rPr>
        <w:t>a</w:t>
      </w:r>
      <w:r w:rsidR="0043299C" w:rsidRPr="001C108E">
        <w:rPr>
          <w:sz w:val="24"/>
        </w:rPr>
        <w:t xml:space="preserve"> saving in 2018/19 but has now been achieved earlier than expected</w:t>
      </w:r>
      <w:r w:rsidR="0043299C">
        <w:rPr>
          <w:sz w:val="24"/>
        </w:rPr>
        <w:t xml:space="preserve">. There is also </w:t>
      </w:r>
      <w:r w:rsidR="006569B0">
        <w:rPr>
          <w:sz w:val="24"/>
        </w:rPr>
        <w:t xml:space="preserve">a </w:t>
      </w:r>
      <w:r w:rsidR="00A5330F" w:rsidRPr="005D32A4">
        <w:rPr>
          <w:sz w:val="24"/>
        </w:rPr>
        <w:t>£</w:t>
      </w:r>
      <w:r w:rsidR="001068C1">
        <w:rPr>
          <w:sz w:val="24"/>
        </w:rPr>
        <w:t>70</w:t>
      </w:r>
      <w:r w:rsidR="00A5330F" w:rsidRPr="005D32A4">
        <w:rPr>
          <w:sz w:val="24"/>
        </w:rPr>
        <w:t xml:space="preserve">0k </w:t>
      </w:r>
      <w:r w:rsidR="0043299C">
        <w:rPr>
          <w:sz w:val="24"/>
        </w:rPr>
        <w:t xml:space="preserve">underspend </w:t>
      </w:r>
      <w:r w:rsidR="00A5330F" w:rsidRPr="005D32A4">
        <w:rPr>
          <w:sz w:val="24"/>
        </w:rPr>
        <w:t xml:space="preserve">on </w:t>
      </w:r>
      <w:r w:rsidR="00A5330F" w:rsidRPr="001C108E">
        <w:rPr>
          <w:sz w:val="24"/>
        </w:rPr>
        <w:t xml:space="preserve">FRS staff due to </w:t>
      </w:r>
      <w:r w:rsidR="00DF1E61">
        <w:rPr>
          <w:sz w:val="24"/>
        </w:rPr>
        <w:t>vacancies</w:t>
      </w:r>
      <w:r w:rsidR="00A5330F" w:rsidRPr="001C108E">
        <w:rPr>
          <w:sz w:val="24"/>
        </w:rPr>
        <w:t>.</w:t>
      </w:r>
    </w:p>
    <w:p w:rsidR="00A43A81" w:rsidRPr="00614220" w:rsidRDefault="00E33C84" w:rsidP="003D479B">
      <w:pPr>
        <w:pStyle w:val="NumbList"/>
        <w:numPr>
          <w:ilvl w:val="0"/>
          <w:numId w:val="160"/>
        </w:numPr>
        <w:ind w:left="567" w:hanging="567"/>
        <w:rPr>
          <w:sz w:val="24"/>
        </w:rPr>
      </w:pPr>
      <w:r w:rsidRPr="005D32A4">
        <w:rPr>
          <w:sz w:val="24"/>
        </w:rPr>
        <w:t xml:space="preserve">The </w:t>
      </w:r>
      <w:r w:rsidR="00F10F70" w:rsidRPr="005D32A4">
        <w:rPr>
          <w:sz w:val="24"/>
        </w:rPr>
        <w:t xml:space="preserve">key variances </w:t>
      </w:r>
      <w:r w:rsidR="004B00EE" w:rsidRPr="005D32A4">
        <w:rPr>
          <w:sz w:val="24"/>
        </w:rPr>
        <w:t>a</w:t>
      </w:r>
      <w:r w:rsidR="00ED23F0" w:rsidRPr="005D32A4">
        <w:rPr>
          <w:sz w:val="24"/>
        </w:rPr>
        <w:t xml:space="preserve">re </w:t>
      </w:r>
      <w:r w:rsidR="00B66FD7" w:rsidRPr="005D32A4">
        <w:rPr>
          <w:sz w:val="24"/>
        </w:rPr>
        <w:t xml:space="preserve">discussed </w:t>
      </w:r>
      <w:r w:rsidR="00ED23F0" w:rsidRPr="005D32A4">
        <w:rPr>
          <w:sz w:val="24"/>
        </w:rPr>
        <w:t xml:space="preserve">in more detail from </w:t>
      </w:r>
      <w:r w:rsidR="004B00EE" w:rsidRPr="005D32A4">
        <w:rPr>
          <w:sz w:val="24"/>
        </w:rPr>
        <w:t xml:space="preserve">paragraph </w:t>
      </w:r>
      <w:r w:rsidR="008B6D29">
        <w:rPr>
          <w:sz w:val="24"/>
        </w:rPr>
        <w:t>1</w:t>
      </w:r>
      <w:r w:rsidR="005D4DED">
        <w:rPr>
          <w:sz w:val="24"/>
        </w:rPr>
        <w:t xml:space="preserve">2 </w:t>
      </w:r>
      <w:r w:rsidR="004B00EE" w:rsidRPr="005D32A4">
        <w:rPr>
          <w:sz w:val="24"/>
        </w:rPr>
        <w:t>below</w:t>
      </w:r>
      <w:r w:rsidR="00216D82" w:rsidRPr="005D32A4">
        <w:rPr>
          <w:sz w:val="24"/>
        </w:rPr>
        <w:t>.</w:t>
      </w:r>
    </w:p>
    <w:p w:rsidR="001C127F" w:rsidRPr="00A04D12" w:rsidRDefault="006F1A05" w:rsidP="004C6692">
      <w:pPr>
        <w:pStyle w:val="NumbList"/>
        <w:numPr>
          <w:ilvl w:val="0"/>
          <w:numId w:val="0"/>
        </w:numPr>
        <w:ind w:left="567" w:hanging="567"/>
        <w:contextualSpacing/>
        <w:rPr>
          <w:b/>
          <w:sz w:val="24"/>
        </w:rPr>
      </w:pPr>
      <w:r w:rsidRPr="00A04D12">
        <w:rPr>
          <w:b/>
          <w:sz w:val="24"/>
        </w:rPr>
        <w:t>Capital</w:t>
      </w:r>
    </w:p>
    <w:p w:rsidR="00BB0767" w:rsidRDefault="007F4E4F" w:rsidP="004336C0">
      <w:pPr>
        <w:pStyle w:val="NumbList"/>
        <w:numPr>
          <w:ilvl w:val="0"/>
          <w:numId w:val="160"/>
        </w:numPr>
        <w:ind w:left="567" w:hanging="567"/>
        <w:contextualSpacing/>
        <w:rPr>
          <w:sz w:val="24"/>
        </w:rPr>
      </w:pPr>
      <w:r w:rsidRPr="00BB0767">
        <w:rPr>
          <w:sz w:val="24"/>
        </w:rPr>
        <w:t xml:space="preserve">The </w:t>
      </w:r>
      <w:r w:rsidR="007F224D" w:rsidRPr="00BB0767">
        <w:rPr>
          <w:sz w:val="24"/>
        </w:rPr>
        <w:t xml:space="preserve">approved </w:t>
      </w:r>
      <w:r w:rsidRPr="00BB0767">
        <w:rPr>
          <w:sz w:val="24"/>
        </w:rPr>
        <w:t>capital programme for 2017/18</w:t>
      </w:r>
      <w:r w:rsidR="007F224D" w:rsidRPr="00BB0767">
        <w:rPr>
          <w:sz w:val="24"/>
        </w:rPr>
        <w:t xml:space="preserve"> </w:t>
      </w:r>
      <w:r w:rsidR="00D97F13" w:rsidRPr="00BB0767">
        <w:rPr>
          <w:sz w:val="24"/>
        </w:rPr>
        <w:t>is</w:t>
      </w:r>
      <w:r w:rsidR="007F224D" w:rsidRPr="00BB0767">
        <w:rPr>
          <w:sz w:val="24"/>
        </w:rPr>
        <w:t xml:space="preserve"> £29,146k</w:t>
      </w:r>
      <w:r w:rsidR="00A86476">
        <w:rPr>
          <w:sz w:val="24"/>
        </w:rPr>
        <w:t xml:space="preserve"> and the</w:t>
      </w:r>
      <w:r w:rsidR="00396334" w:rsidRPr="00BB0767">
        <w:rPr>
          <w:sz w:val="24"/>
        </w:rPr>
        <w:t xml:space="preserve"> forecast capital spend</w:t>
      </w:r>
      <w:r w:rsidR="00A86476">
        <w:rPr>
          <w:sz w:val="24"/>
        </w:rPr>
        <w:t xml:space="preserve"> </w:t>
      </w:r>
      <w:r w:rsidR="00396334" w:rsidRPr="00BB0767">
        <w:rPr>
          <w:sz w:val="24"/>
        </w:rPr>
        <w:t>is £</w:t>
      </w:r>
      <w:r w:rsidR="00A43A81" w:rsidRPr="00BB0767">
        <w:rPr>
          <w:sz w:val="24"/>
        </w:rPr>
        <w:t>20</w:t>
      </w:r>
      <w:r w:rsidR="00396334" w:rsidRPr="00BB0767">
        <w:rPr>
          <w:sz w:val="24"/>
        </w:rPr>
        <w:t>,</w:t>
      </w:r>
      <w:r w:rsidR="00A43A81" w:rsidRPr="00BB0767">
        <w:rPr>
          <w:sz w:val="24"/>
        </w:rPr>
        <w:t>334</w:t>
      </w:r>
      <w:r w:rsidR="009E701C" w:rsidRPr="00BB0767">
        <w:rPr>
          <w:sz w:val="24"/>
        </w:rPr>
        <w:t>k</w:t>
      </w:r>
      <w:r w:rsidR="005D4DED">
        <w:rPr>
          <w:sz w:val="24"/>
        </w:rPr>
        <w:t xml:space="preserve">, an </w:t>
      </w:r>
      <w:r w:rsidR="00A86476">
        <w:rPr>
          <w:sz w:val="24"/>
        </w:rPr>
        <w:t xml:space="preserve">underspend of </w:t>
      </w:r>
      <w:r w:rsidR="00396334" w:rsidRPr="00BB0767">
        <w:rPr>
          <w:sz w:val="24"/>
        </w:rPr>
        <w:t xml:space="preserve"> £</w:t>
      </w:r>
      <w:r w:rsidR="00A43A81" w:rsidRPr="00BB0767">
        <w:rPr>
          <w:sz w:val="24"/>
        </w:rPr>
        <w:t>8,802</w:t>
      </w:r>
      <w:r w:rsidR="00396334" w:rsidRPr="00BB0767">
        <w:rPr>
          <w:sz w:val="24"/>
        </w:rPr>
        <w:t>k</w:t>
      </w:r>
      <w:r w:rsidR="00331372" w:rsidRPr="00BB0767">
        <w:rPr>
          <w:sz w:val="24"/>
        </w:rPr>
        <w:t xml:space="preserve"> </w:t>
      </w:r>
      <w:r w:rsidR="00396334" w:rsidRPr="00BB0767">
        <w:rPr>
          <w:sz w:val="24"/>
        </w:rPr>
        <w:t xml:space="preserve">less than the </w:t>
      </w:r>
      <w:r w:rsidR="00D97F13" w:rsidRPr="00BB0767">
        <w:rPr>
          <w:sz w:val="24"/>
        </w:rPr>
        <w:t xml:space="preserve">approved </w:t>
      </w:r>
      <w:r w:rsidR="00396334" w:rsidRPr="00BB0767">
        <w:rPr>
          <w:sz w:val="24"/>
        </w:rPr>
        <w:t>capital budget</w:t>
      </w:r>
      <w:r w:rsidR="00BB0767">
        <w:rPr>
          <w:sz w:val="24"/>
        </w:rPr>
        <w:t>. The</w:t>
      </w:r>
      <w:r w:rsidR="005D4DED">
        <w:rPr>
          <w:sz w:val="24"/>
        </w:rPr>
        <w:t xml:space="preserve"> forecast capital spend </w:t>
      </w:r>
      <w:r w:rsidR="00A86476">
        <w:rPr>
          <w:sz w:val="24"/>
        </w:rPr>
        <w:t xml:space="preserve">has increased by </w:t>
      </w:r>
      <w:r w:rsidR="008B6D29">
        <w:rPr>
          <w:sz w:val="24"/>
        </w:rPr>
        <w:t xml:space="preserve"> </w:t>
      </w:r>
      <w:r w:rsidR="00D97F13" w:rsidRPr="00BB0767">
        <w:rPr>
          <w:sz w:val="24"/>
        </w:rPr>
        <w:t>£</w:t>
      </w:r>
      <w:r w:rsidR="00A43A81" w:rsidRPr="00BB0767">
        <w:rPr>
          <w:sz w:val="24"/>
        </w:rPr>
        <w:t>2</w:t>
      </w:r>
      <w:r w:rsidR="00344090" w:rsidRPr="00BB0767">
        <w:rPr>
          <w:sz w:val="24"/>
        </w:rPr>
        <w:t>,</w:t>
      </w:r>
      <w:r w:rsidR="00A43A81" w:rsidRPr="00BB0767">
        <w:rPr>
          <w:sz w:val="24"/>
        </w:rPr>
        <w:t xml:space="preserve">349k </w:t>
      </w:r>
      <w:r w:rsidR="00A86476">
        <w:rPr>
          <w:sz w:val="24"/>
        </w:rPr>
        <w:t xml:space="preserve">since last reported </w:t>
      </w:r>
      <w:r w:rsidR="00963A10" w:rsidRPr="00BB0767">
        <w:rPr>
          <w:sz w:val="24"/>
        </w:rPr>
        <w:t xml:space="preserve">to the Resources Committee in </w:t>
      </w:r>
      <w:r w:rsidR="00A86476">
        <w:rPr>
          <w:sz w:val="24"/>
        </w:rPr>
        <w:t>November</w:t>
      </w:r>
      <w:r w:rsidR="00A86476" w:rsidRPr="00BB0767">
        <w:rPr>
          <w:sz w:val="24"/>
        </w:rPr>
        <w:t xml:space="preserve"> </w:t>
      </w:r>
      <w:r w:rsidR="00963A10" w:rsidRPr="00BB0767">
        <w:rPr>
          <w:sz w:val="24"/>
        </w:rPr>
        <w:t>(FEP 27</w:t>
      </w:r>
      <w:r w:rsidR="00A43A81" w:rsidRPr="00BB0767">
        <w:rPr>
          <w:sz w:val="24"/>
        </w:rPr>
        <w:t>9</w:t>
      </w:r>
      <w:r w:rsidR="00963A10" w:rsidRPr="00BB0767">
        <w:rPr>
          <w:sz w:val="24"/>
        </w:rPr>
        <w:t>2)</w:t>
      </w:r>
      <w:r w:rsidR="00A86476">
        <w:rPr>
          <w:sz w:val="24"/>
        </w:rPr>
        <w:t xml:space="preserve"> due to</w:t>
      </w:r>
      <w:r w:rsidR="00B7551A" w:rsidRPr="00B7551A">
        <w:rPr>
          <w:sz w:val="24"/>
        </w:rPr>
        <w:t xml:space="preserve"> payments being brought forward from 2018/19 for the stage payments in association with the purchase of the </w:t>
      </w:r>
      <w:r w:rsidR="00A43A81" w:rsidRPr="00B7551A">
        <w:rPr>
          <w:sz w:val="24"/>
        </w:rPr>
        <w:t>re</w:t>
      </w:r>
      <w:r w:rsidR="00B7551A" w:rsidRPr="00B7551A">
        <w:rPr>
          <w:sz w:val="24"/>
        </w:rPr>
        <w:t xml:space="preserve">placement pump appliances. </w:t>
      </w:r>
    </w:p>
    <w:p w:rsidR="00614220" w:rsidRDefault="00614220" w:rsidP="004C6692">
      <w:pPr>
        <w:pStyle w:val="NumbList"/>
        <w:numPr>
          <w:ilvl w:val="0"/>
          <w:numId w:val="0"/>
        </w:numPr>
        <w:ind w:left="567"/>
        <w:contextualSpacing/>
        <w:rPr>
          <w:sz w:val="24"/>
        </w:rPr>
      </w:pPr>
    </w:p>
    <w:p w:rsidR="009E701C" w:rsidRPr="00BB0767" w:rsidRDefault="00BB0767" w:rsidP="00A44E77">
      <w:pPr>
        <w:pStyle w:val="NumbList"/>
        <w:numPr>
          <w:ilvl w:val="0"/>
          <w:numId w:val="160"/>
        </w:numPr>
        <w:ind w:left="567" w:hanging="567"/>
        <w:rPr>
          <w:sz w:val="24"/>
          <w:lang w:eastAsia="en-GB"/>
        </w:rPr>
      </w:pPr>
      <w:r>
        <w:rPr>
          <w:sz w:val="24"/>
        </w:rPr>
        <w:t xml:space="preserve">The key variances are discussed in more detail from </w:t>
      </w:r>
      <w:r w:rsidR="00262CBF">
        <w:rPr>
          <w:sz w:val="24"/>
        </w:rPr>
        <w:t>paragraph 3</w:t>
      </w:r>
      <w:r w:rsidR="00CA4FB8">
        <w:rPr>
          <w:sz w:val="24"/>
        </w:rPr>
        <w:t>4</w:t>
      </w:r>
      <w:r w:rsidR="00262CBF">
        <w:rPr>
          <w:sz w:val="24"/>
        </w:rPr>
        <w:t xml:space="preserve"> below.</w:t>
      </w:r>
      <w:r w:rsidR="00D97FA6">
        <w:rPr>
          <w:sz w:val="24"/>
          <w:lang w:eastAsia="en-GB"/>
        </w:rPr>
        <w:t xml:space="preserve"> </w:t>
      </w:r>
    </w:p>
    <w:p w:rsidR="00EB35AC" w:rsidRDefault="00331372" w:rsidP="00A07E7B">
      <w:pPr>
        <w:pStyle w:val="NumbList"/>
        <w:numPr>
          <w:ilvl w:val="0"/>
          <w:numId w:val="0"/>
        </w:numPr>
        <w:tabs>
          <w:tab w:val="left" w:pos="7037"/>
        </w:tabs>
        <w:ind w:left="567" w:hanging="567"/>
        <w:rPr>
          <w:b/>
          <w:sz w:val="24"/>
        </w:rPr>
      </w:pPr>
      <w:r>
        <w:rPr>
          <w:sz w:val="24"/>
        </w:rPr>
        <w:t xml:space="preserve"> </w:t>
      </w:r>
      <w:r w:rsidR="00124F06" w:rsidRPr="00886BE8">
        <w:rPr>
          <w:b/>
          <w:sz w:val="24"/>
        </w:rPr>
        <w:t>Tables and Appendices to this report</w:t>
      </w:r>
      <w:r w:rsidR="0015128A">
        <w:rPr>
          <w:b/>
          <w:sz w:val="24"/>
        </w:rPr>
        <w:tab/>
      </w:r>
    </w:p>
    <w:p w:rsidR="00C56DB6" w:rsidRPr="00E37FB2" w:rsidRDefault="00EB35AC" w:rsidP="00A44E77">
      <w:pPr>
        <w:pStyle w:val="NumbList"/>
        <w:numPr>
          <w:ilvl w:val="0"/>
          <w:numId w:val="160"/>
        </w:numPr>
        <w:spacing w:after="0" w:line="240" w:lineRule="auto"/>
        <w:ind w:left="567" w:hanging="567"/>
        <w:contextualSpacing/>
        <w:rPr>
          <w:b/>
          <w:sz w:val="24"/>
        </w:rPr>
      </w:pPr>
      <w:r w:rsidRPr="00AD47A7">
        <w:rPr>
          <w:sz w:val="24"/>
          <w:lang w:eastAsia="en-GB"/>
        </w:rPr>
        <w:t>A summary of the financial position for the reven</w:t>
      </w:r>
      <w:r w:rsidR="00ED23F0" w:rsidRPr="00AD47A7">
        <w:rPr>
          <w:sz w:val="24"/>
          <w:lang w:eastAsia="en-GB"/>
        </w:rPr>
        <w:t xml:space="preserve">ue budget is provided in Table </w:t>
      </w:r>
      <w:r w:rsidR="00B26BCA" w:rsidRPr="00AD47A7">
        <w:rPr>
          <w:sz w:val="24"/>
          <w:lang w:eastAsia="en-GB"/>
        </w:rPr>
        <w:t>1</w:t>
      </w:r>
      <w:r w:rsidRPr="00AD47A7">
        <w:rPr>
          <w:sz w:val="24"/>
          <w:lang w:eastAsia="en-GB"/>
        </w:rPr>
        <w:t xml:space="preserve">. The </w:t>
      </w:r>
      <w:r w:rsidR="008758CE" w:rsidRPr="00AD47A7">
        <w:rPr>
          <w:sz w:val="24"/>
          <w:lang w:eastAsia="en-GB"/>
        </w:rPr>
        <w:t>latest</w:t>
      </w:r>
      <w:r w:rsidRPr="00AD47A7">
        <w:rPr>
          <w:sz w:val="24"/>
          <w:lang w:eastAsia="en-GB"/>
        </w:rPr>
        <w:t xml:space="preserve"> position on reserves is set </w:t>
      </w:r>
      <w:r w:rsidR="008758CE" w:rsidRPr="00AD47A7">
        <w:rPr>
          <w:sz w:val="24"/>
          <w:lang w:eastAsia="en-GB"/>
        </w:rPr>
        <w:t>out</w:t>
      </w:r>
      <w:r w:rsidR="00ED23F0" w:rsidRPr="00AD47A7">
        <w:rPr>
          <w:sz w:val="24"/>
          <w:lang w:eastAsia="en-GB"/>
        </w:rPr>
        <w:t xml:space="preserve"> in Table </w:t>
      </w:r>
      <w:r w:rsidR="00D41CDC" w:rsidRPr="00AD47A7">
        <w:rPr>
          <w:sz w:val="24"/>
          <w:lang w:eastAsia="en-GB"/>
        </w:rPr>
        <w:t>2</w:t>
      </w:r>
      <w:r w:rsidRPr="00AD47A7">
        <w:rPr>
          <w:sz w:val="24"/>
          <w:lang w:eastAsia="en-GB"/>
        </w:rPr>
        <w:t xml:space="preserve">. Appendix 1 contains additional </w:t>
      </w:r>
      <w:r w:rsidR="00A60ABA" w:rsidRPr="00AD47A7">
        <w:rPr>
          <w:sz w:val="24"/>
          <w:lang w:eastAsia="en-GB"/>
        </w:rPr>
        <w:t xml:space="preserve">detail on the </w:t>
      </w:r>
      <w:r w:rsidR="00C92ACA" w:rsidRPr="00AD47A7">
        <w:rPr>
          <w:sz w:val="24"/>
          <w:lang w:eastAsia="en-GB"/>
        </w:rPr>
        <w:t xml:space="preserve">current and forecast </w:t>
      </w:r>
      <w:r w:rsidR="00A60ABA" w:rsidRPr="00AD47A7">
        <w:rPr>
          <w:sz w:val="24"/>
          <w:lang w:eastAsia="en-GB"/>
        </w:rPr>
        <w:t xml:space="preserve">financial position. Appendix 2 reports on the </w:t>
      </w:r>
      <w:r w:rsidR="00AC7B25" w:rsidRPr="00AD47A7">
        <w:rPr>
          <w:sz w:val="24"/>
          <w:lang w:eastAsia="en-GB"/>
        </w:rPr>
        <w:t xml:space="preserve">forecast </w:t>
      </w:r>
      <w:r w:rsidR="00A60ABA" w:rsidRPr="00AD47A7">
        <w:rPr>
          <w:sz w:val="24"/>
          <w:lang w:eastAsia="en-GB"/>
        </w:rPr>
        <w:t xml:space="preserve">outturn on the </w:t>
      </w:r>
      <w:r w:rsidR="00627E81" w:rsidRPr="00AD47A7">
        <w:rPr>
          <w:sz w:val="24"/>
          <w:lang w:eastAsia="en-GB"/>
        </w:rPr>
        <w:t>c</w:t>
      </w:r>
      <w:r w:rsidR="00A60ABA" w:rsidRPr="00AD47A7">
        <w:rPr>
          <w:sz w:val="24"/>
          <w:lang w:eastAsia="en-GB"/>
        </w:rPr>
        <w:t>apital programme</w:t>
      </w:r>
      <w:r w:rsidR="00C21661" w:rsidRPr="00AD47A7">
        <w:rPr>
          <w:sz w:val="24"/>
          <w:lang w:eastAsia="en-GB"/>
        </w:rPr>
        <w:t>.</w:t>
      </w:r>
      <w:r w:rsidR="00113D5E" w:rsidRPr="00AD47A7">
        <w:rPr>
          <w:sz w:val="24"/>
          <w:lang w:eastAsia="en-GB"/>
        </w:rPr>
        <w:t xml:space="preserve"> </w:t>
      </w:r>
      <w:r w:rsidR="00DC5AD7" w:rsidRPr="00AD47A7">
        <w:rPr>
          <w:sz w:val="24"/>
          <w:lang w:eastAsia="en-GB"/>
        </w:rPr>
        <w:t>Appendix</w:t>
      </w:r>
      <w:r w:rsidR="00331372">
        <w:rPr>
          <w:sz w:val="24"/>
          <w:lang w:eastAsia="en-GB"/>
        </w:rPr>
        <w:t xml:space="preserve"> </w:t>
      </w:r>
      <w:r w:rsidR="00113D5E" w:rsidRPr="00AD47A7">
        <w:rPr>
          <w:sz w:val="24"/>
          <w:lang w:eastAsia="en-GB"/>
        </w:rPr>
        <w:t>3</w:t>
      </w:r>
      <w:r w:rsidR="00C21661" w:rsidRPr="00AD47A7">
        <w:rPr>
          <w:sz w:val="24"/>
          <w:lang w:eastAsia="en-GB"/>
        </w:rPr>
        <w:t xml:space="preserve"> discusses the risk</w:t>
      </w:r>
      <w:r w:rsidR="00AC7B25" w:rsidRPr="00AD47A7">
        <w:rPr>
          <w:sz w:val="24"/>
          <w:lang w:eastAsia="en-GB"/>
        </w:rPr>
        <w:t>s</w:t>
      </w:r>
      <w:r w:rsidR="00C21661" w:rsidRPr="00AD47A7">
        <w:rPr>
          <w:sz w:val="24"/>
          <w:lang w:eastAsia="en-GB"/>
        </w:rPr>
        <w:t xml:space="preserve"> to the</w:t>
      </w:r>
      <w:r w:rsidR="002E09F1" w:rsidRPr="00AD47A7">
        <w:rPr>
          <w:sz w:val="24"/>
          <w:lang w:eastAsia="en-GB"/>
        </w:rPr>
        <w:t xml:space="preserve"> revenue and</w:t>
      </w:r>
      <w:r w:rsidR="00AC7B25" w:rsidRPr="00AD47A7">
        <w:rPr>
          <w:sz w:val="24"/>
          <w:lang w:eastAsia="en-GB"/>
        </w:rPr>
        <w:t xml:space="preserve"> </w:t>
      </w:r>
      <w:r w:rsidR="00C21661" w:rsidRPr="00AD47A7">
        <w:rPr>
          <w:sz w:val="24"/>
          <w:lang w:eastAsia="en-GB"/>
        </w:rPr>
        <w:t>capital position that ha</w:t>
      </w:r>
      <w:r w:rsidR="00AC7B25" w:rsidRPr="00AD47A7">
        <w:rPr>
          <w:sz w:val="24"/>
          <w:lang w:eastAsia="en-GB"/>
        </w:rPr>
        <w:t>ve</w:t>
      </w:r>
      <w:r w:rsidR="00C21661" w:rsidRPr="00AD47A7">
        <w:rPr>
          <w:sz w:val="24"/>
          <w:lang w:eastAsia="en-GB"/>
        </w:rPr>
        <w:t xml:space="preserve"> not been quantified</w:t>
      </w:r>
      <w:r w:rsidR="00E325D3" w:rsidRPr="00AD47A7">
        <w:rPr>
          <w:sz w:val="24"/>
          <w:lang w:eastAsia="en-GB"/>
        </w:rPr>
        <w:t xml:space="preserve">. </w:t>
      </w:r>
      <w:r w:rsidR="00C21661" w:rsidRPr="00611BCA">
        <w:rPr>
          <w:sz w:val="24"/>
          <w:lang w:eastAsia="en-GB"/>
        </w:rPr>
        <w:t>Appendix</w:t>
      </w:r>
      <w:r w:rsidR="00331372" w:rsidRPr="00611BCA">
        <w:rPr>
          <w:sz w:val="24"/>
          <w:lang w:eastAsia="en-GB"/>
        </w:rPr>
        <w:t xml:space="preserve"> </w:t>
      </w:r>
      <w:r w:rsidR="00333AA1" w:rsidRPr="00611BCA">
        <w:rPr>
          <w:sz w:val="24"/>
          <w:lang w:eastAsia="en-GB"/>
        </w:rPr>
        <w:t>4</w:t>
      </w:r>
      <w:r w:rsidR="008758CE" w:rsidRPr="00611BCA">
        <w:rPr>
          <w:sz w:val="24"/>
          <w:lang w:eastAsia="en-GB"/>
        </w:rPr>
        <w:t xml:space="preserve"> meets the requirement to disclose all budget virements within the quarter under financial regulation 9</w:t>
      </w:r>
      <w:r w:rsidR="00300433" w:rsidRPr="00AD47A7">
        <w:rPr>
          <w:sz w:val="24"/>
          <w:lang w:eastAsia="en-GB"/>
        </w:rPr>
        <w:t xml:space="preserve"> and Appendix 5 provides an analysis of outstanding debt relating to charges for Shut in Lift</w:t>
      </w:r>
      <w:r w:rsidR="0084611A" w:rsidRPr="00AD47A7">
        <w:rPr>
          <w:sz w:val="24"/>
          <w:lang w:eastAsia="en-GB"/>
        </w:rPr>
        <w:t xml:space="preserve"> attendances</w:t>
      </w:r>
      <w:r w:rsidR="00300433" w:rsidRPr="00AD47A7">
        <w:rPr>
          <w:sz w:val="24"/>
          <w:lang w:eastAsia="en-GB"/>
        </w:rPr>
        <w:t>.</w:t>
      </w:r>
    </w:p>
    <w:p w:rsidR="00C56DB6" w:rsidRDefault="00C56DB6" w:rsidP="00E37FB2">
      <w:pPr>
        <w:pStyle w:val="NumbList"/>
        <w:numPr>
          <w:ilvl w:val="0"/>
          <w:numId w:val="0"/>
        </w:numPr>
        <w:spacing w:after="0" w:line="240" w:lineRule="auto"/>
        <w:ind w:left="567"/>
        <w:rPr>
          <w:b/>
          <w:sz w:val="24"/>
        </w:rPr>
      </w:pPr>
    </w:p>
    <w:p w:rsidR="004C4201" w:rsidRPr="00E37FB2" w:rsidRDefault="004C4201" w:rsidP="00A07E7B">
      <w:pPr>
        <w:spacing w:after="0" w:line="240" w:lineRule="auto"/>
        <w:rPr>
          <w:b/>
          <w:sz w:val="24"/>
        </w:rPr>
      </w:pPr>
      <w:r w:rsidRPr="00C56DB6">
        <w:rPr>
          <w:b/>
          <w:sz w:val="24"/>
        </w:rPr>
        <w:t>Table 1. Summary Financial Position</w:t>
      </w:r>
    </w:p>
    <w:tbl>
      <w:tblPr>
        <w:tblpPr w:leftFromText="180" w:rightFromText="180" w:vertAnchor="text" w:horzAnchor="margin" w:tblpY="323"/>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086"/>
        <w:gridCol w:w="1087"/>
        <w:gridCol w:w="1087"/>
        <w:gridCol w:w="1087"/>
        <w:gridCol w:w="1087"/>
        <w:gridCol w:w="1087"/>
        <w:gridCol w:w="1169"/>
        <w:gridCol w:w="1170"/>
      </w:tblGrid>
      <w:tr w:rsidR="003D0832" w:rsidRPr="00682606" w:rsidTr="003D0832">
        <w:trPr>
          <w:cantSplit/>
          <w:trHeight w:val="274"/>
          <w:tblHeader/>
        </w:trPr>
        <w:tc>
          <w:tcPr>
            <w:tcW w:w="1951" w:type="dxa"/>
            <w:shd w:val="clear" w:color="auto" w:fill="auto"/>
            <w:vAlign w:val="center"/>
            <w:hideMark/>
          </w:tcPr>
          <w:p w:rsidR="003D0832" w:rsidRPr="00682606" w:rsidRDefault="003D0832" w:rsidP="003D0832">
            <w:pPr>
              <w:spacing w:after="0" w:line="240" w:lineRule="auto"/>
              <w:jc w:val="both"/>
              <w:rPr>
                <w:sz w:val="20"/>
                <w:szCs w:val="20"/>
              </w:rPr>
            </w:pPr>
            <w:r w:rsidRPr="00682606">
              <w:rPr>
                <w:sz w:val="20"/>
                <w:szCs w:val="20"/>
              </w:rPr>
              <w:t> </w:t>
            </w:r>
          </w:p>
        </w:tc>
        <w:tc>
          <w:tcPr>
            <w:tcW w:w="1086" w:type="dxa"/>
            <w:vAlign w:val="center"/>
          </w:tcPr>
          <w:p w:rsidR="003D0832" w:rsidRPr="00682606" w:rsidRDefault="003D0832" w:rsidP="003D0832">
            <w:pPr>
              <w:spacing w:after="0" w:line="240" w:lineRule="auto"/>
              <w:jc w:val="center"/>
              <w:rPr>
                <w:b/>
                <w:bCs/>
                <w:sz w:val="20"/>
                <w:szCs w:val="20"/>
              </w:rPr>
            </w:pPr>
            <w:r>
              <w:rPr>
                <w:b/>
                <w:bCs/>
                <w:sz w:val="20"/>
                <w:szCs w:val="20"/>
              </w:rPr>
              <w:t>Current Budget</w:t>
            </w:r>
          </w:p>
        </w:tc>
        <w:tc>
          <w:tcPr>
            <w:tcW w:w="1087" w:type="dxa"/>
            <w:vAlign w:val="center"/>
          </w:tcPr>
          <w:p w:rsidR="003D0832" w:rsidRPr="00682606" w:rsidRDefault="003D0832" w:rsidP="003D0832">
            <w:pPr>
              <w:spacing w:after="0" w:line="240" w:lineRule="auto"/>
              <w:jc w:val="center"/>
              <w:rPr>
                <w:b/>
                <w:bCs/>
                <w:sz w:val="20"/>
                <w:szCs w:val="20"/>
              </w:rPr>
            </w:pPr>
            <w:r>
              <w:rPr>
                <w:b/>
                <w:bCs/>
                <w:sz w:val="20"/>
                <w:szCs w:val="20"/>
              </w:rPr>
              <w:t>Current Spend</w:t>
            </w:r>
          </w:p>
        </w:tc>
        <w:tc>
          <w:tcPr>
            <w:tcW w:w="1087" w:type="dxa"/>
            <w:vAlign w:val="center"/>
          </w:tcPr>
          <w:p w:rsidR="003D0832" w:rsidRPr="00682606" w:rsidRDefault="003D0832" w:rsidP="003D0832">
            <w:pPr>
              <w:spacing w:after="0" w:line="240" w:lineRule="auto"/>
              <w:jc w:val="center"/>
              <w:rPr>
                <w:b/>
                <w:bCs/>
                <w:sz w:val="20"/>
                <w:szCs w:val="20"/>
              </w:rPr>
            </w:pPr>
            <w:r>
              <w:rPr>
                <w:b/>
                <w:bCs/>
                <w:sz w:val="20"/>
                <w:szCs w:val="20"/>
              </w:rPr>
              <w:t>Current Variance</w:t>
            </w:r>
          </w:p>
        </w:tc>
        <w:tc>
          <w:tcPr>
            <w:tcW w:w="1087" w:type="dxa"/>
            <w:shd w:val="clear" w:color="auto" w:fill="auto"/>
            <w:vAlign w:val="center"/>
            <w:hideMark/>
          </w:tcPr>
          <w:p w:rsidR="003D0832" w:rsidRPr="00682606" w:rsidRDefault="003D0832" w:rsidP="003D0832">
            <w:pPr>
              <w:spacing w:after="0" w:line="240" w:lineRule="auto"/>
              <w:jc w:val="center"/>
              <w:rPr>
                <w:b/>
                <w:bCs/>
                <w:sz w:val="20"/>
                <w:szCs w:val="20"/>
              </w:rPr>
            </w:pPr>
            <w:r>
              <w:rPr>
                <w:b/>
                <w:bCs/>
                <w:sz w:val="20"/>
                <w:szCs w:val="20"/>
              </w:rPr>
              <w:t>Revised Budget</w:t>
            </w:r>
          </w:p>
        </w:tc>
        <w:tc>
          <w:tcPr>
            <w:tcW w:w="1087" w:type="dxa"/>
            <w:shd w:val="clear" w:color="auto" w:fill="auto"/>
            <w:vAlign w:val="center"/>
            <w:hideMark/>
          </w:tcPr>
          <w:p w:rsidR="003D0832" w:rsidRPr="00682606" w:rsidRDefault="003D0832" w:rsidP="003D0832">
            <w:pPr>
              <w:spacing w:after="0" w:line="240" w:lineRule="auto"/>
              <w:jc w:val="center"/>
              <w:rPr>
                <w:b/>
                <w:bCs/>
                <w:sz w:val="20"/>
                <w:szCs w:val="20"/>
              </w:rPr>
            </w:pPr>
            <w:r>
              <w:rPr>
                <w:b/>
                <w:bCs/>
                <w:sz w:val="20"/>
                <w:szCs w:val="20"/>
              </w:rPr>
              <w:t>Forecast Outturn</w:t>
            </w:r>
          </w:p>
        </w:tc>
        <w:tc>
          <w:tcPr>
            <w:tcW w:w="1087" w:type="dxa"/>
            <w:shd w:val="clear" w:color="auto" w:fill="auto"/>
            <w:vAlign w:val="center"/>
            <w:hideMark/>
          </w:tcPr>
          <w:p w:rsidR="003D0832" w:rsidRPr="00682606" w:rsidRDefault="003D0832" w:rsidP="003D0832">
            <w:pPr>
              <w:spacing w:after="0" w:line="240" w:lineRule="auto"/>
              <w:jc w:val="center"/>
              <w:rPr>
                <w:b/>
                <w:bCs/>
                <w:sz w:val="20"/>
                <w:szCs w:val="20"/>
              </w:rPr>
            </w:pPr>
            <w:r>
              <w:rPr>
                <w:b/>
                <w:bCs/>
                <w:sz w:val="20"/>
                <w:szCs w:val="20"/>
              </w:rPr>
              <w:t>Forecast Outturn Variance</w:t>
            </w:r>
          </w:p>
        </w:tc>
        <w:tc>
          <w:tcPr>
            <w:tcW w:w="1169" w:type="dxa"/>
            <w:vAlign w:val="center"/>
          </w:tcPr>
          <w:p w:rsidR="003D0832" w:rsidRDefault="003D0832" w:rsidP="003D0832">
            <w:pPr>
              <w:spacing w:after="0" w:line="240" w:lineRule="auto"/>
              <w:jc w:val="center"/>
              <w:rPr>
                <w:b/>
                <w:bCs/>
                <w:sz w:val="20"/>
                <w:szCs w:val="20"/>
              </w:rPr>
            </w:pPr>
            <w:r>
              <w:rPr>
                <w:b/>
                <w:bCs/>
                <w:sz w:val="20"/>
                <w:szCs w:val="20"/>
              </w:rPr>
              <w:t>Previous Forecast Outturn Variance</w:t>
            </w:r>
          </w:p>
        </w:tc>
        <w:tc>
          <w:tcPr>
            <w:tcW w:w="1170" w:type="dxa"/>
            <w:vAlign w:val="center"/>
          </w:tcPr>
          <w:p w:rsidR="003D0832" w:rsidRDefault="003D0832" w:rsidP="003D0832">
            <w:pPr>
              <w:spacing w:after="0" w:line="240" w:lineRule="auto"/>
              <w:jc w:val="center"/>
              <w:rPr>
                <w:b/>
                <w:bCs/>
                <w:sz w:val="20"/>
                <w:szCs w:val="20"/>
              </w:rPr>
            </w:pPr>
            <w:r>
              <w:rPr>
                <w:b/>
                <w:bCs/>
                <w:sz w:val="20"/>
                <w:szCs w:val="20"/>
              </w:rPr>
              <w:t>Movement between variance figures</w:t>
            </w:r>
          </w:p>
        </w:tc>
      </w:tr>
      <w:tr w:rsidR="003D0832" w:rsidRPr="00682606" w:rsidTr="003D0832">
        <w:trPr>
          <w:cantSplit/>
          <w:trHeight w:val="255"/>
          <w:tblHeader/>
        </w:trPr>
        <w:tc>
          <w:tcPr>
            <w:tcW w:w="1951" w:type="dxa"/>
            <w:shd w:val="clear" w:color="auto" w:fill="auto"/>
            <w:vAlign w:val="center"/>
            <w:hideMark/>
          </w:tcPr>
          <w:p w:rsidR="003D0832" w:rsidRPr="00682606" w:rsidRDefault="003D0832" w:rsidP="003D0832">
            <w:pPr>
              <w:spacing w:after="0" w:line="240" w:lineRule="auto"/>
              <w:rPr>
                <w:sz w:val="20"/>
                <w:szCs w:val="20"/>
              </w:rPr>
            </w:pPr>
            <w:r w:rsidRPr="00682606">
              <w:rPr>
                <w:sz w:val="20"/>
                <w:szCs w:val="20"/>
              </w:rPr>
              <w:t> </w:t>
            </w:r>
          </w:p>
        </w:tc>
        <w:tc>
          <w:tcPr>
            <w:tcW w:w="1086" w:type="dxa"/>
            <w:vAlign w:val="center"/>
          </w:tcPr>
          <w:p w:rsidR="003D0832" w:rsidRPr="00682606" w:rsidRDefault="003D0832" w:rsidP="003D0832">
            <w:pPr>
              <w:spacing w:after="0" w:line="240" w:lineRule="auto"/>
              <w:jc w:val="center"/>
              <w:rPr>
                <w:b/>
                <w:bCs/>
                <w:sz w:val="20"/>
                <w:szCs w:val="20"/>
              </w:rPr>
            </w:pPr>
            <w:r>
              <w:rPr>
                <w:b/>
                <w:bCs/>
                <w:sz w:val="20"/>
                <w:szCs w:val="20"/>
              </w:rPr>
              <w:t>£000s</w:t>
            </w:r>
          </w:p>
        </w:tc>
        <w:tc>
          <w:tcPr>
            <w:tcW w:w="1087" w:type="dxa"/>
            <w:vAlign w:val="center"/>
          </w:tcPr>
          <w:p w:rsidR="003D0832" w:rsidRPr="00682606" w:rsidRDefault="003D0832" w:rsidP="003D0832">
            <w:pPr>
              <w:spacing w:after="0" w:line="240" w:lineRule="auto"/>
              <w:jc w:val="center"/>
              <w:rPr>
                <w:b/>
                <w:bCs/>
                <w:sz w:val="20"/>
                <w:szCs w:val="20"/>
              </w:rPr>
            </w:pPr>
            <w:r>
              <w:rPr>
                <w:b/>
                <w:bCs/>
                <w:sz w:val="20"/>
                <w:szCs w:val="20"/>
              </w:rPr>
              <w:t>£000s</w:t>
            </w:r>
          </w:p>
        </w:tc>
        <w:tc>
          <w:tcPr>
            <w:tcW w:w="1087" w:type="dxa"/>
            <w:vAlign w:val="center"/>
          </w:tcPr>
          <w:p w:rsidR="003D0832" w:rsidRPr="00682606" w:rsidRDefault="003D0832" w:rsidP="003D0832">
            <w:pPr>
              <w:spacing w:after="0" w:line="240" w:lineRule="auto"/>
              <w:jc w:val="center"/>
              <w:rPr>
                <w:b/>
                <w:bCs/>
                <w:sz w:val="20"/>
                <w:szCs w:val="20"/>
              </w:rPr>
            </w:pPr>
            <w:r>
              <w:rPr>
                <w:b/>
                <w:bCs/>
                <w:sz w:val="20"/>
                <w:szCs w:val="20"/>
              </w:rPr>
              <w:t>£000s</w:t>
            </w:r>
          </w:p>
        </w:tc>
        <w:tc>
          <w:tcPr>
            <w:tcW w:w="1087" w:type="dxa"/>
            <w:shd w:val="clear" w:color="auto" w:fill="auto"/>
            <w:vAlign w:val="center"/>
            <w:hideMark/>
          </w:tcPr>
          <w:p w:rsidR="003D0832" w:rsidRPr="00682606" w:rsidRDefault="003D0832" w:rsidP="003D0832">
            <w:pPr>
              <w:spacing w:after="0" w:line="240" w:lineRule="auto"/>
              <w:jc w:val="center"/>
              <w:rPr>
                <w:b/>
                <w:bCs/>
                <w:sz w:val="20"/>
                <w:szCs w:val="20"/>
              </w:rPr>
            </w:pPr>
            <w:r>
              <w:rPr>
                <w:b/>
                <w:bCs/>
                <w:sz w:val="20"/>
                <w:szCs w:val="20"/>
              </w:rPr>
              <w:t>£000s</w:t>
            </w:r>
          </w:p>
        </w:tc>
        <w:tc>
          <w:tcPr>
            <w:tcW w:w="1087" w:type="dxa"/>
            <w:shd w:val="clear" w:color="auto" w:fill="auto"/>
            <w:vAlign w:val="center"/>
            <w:hideMark/>
          </w:tcPr>
          <w:p w:rsidR="003D0832" w:rsidRPr="00682606" w:rsidRDefault="003D0832" w:rsidP="003D0832">
            <w:pPr>
              <w:spacing w:after="0" w:line="240" w:lineRule="auto"/>
              <w:jc w:val="center"/>
              <w:rPr>
                <w:b/>
                <w:bCs/>
                <w:sz w:val="20"/>
                <w:szCs w:val="20"/>
              </w:rPr>
            </w:pPr>
            <w:r>
              <w:rPr>
                <w:b/>
                <w:bCs/>
                <w:sz w:val="20"/>
                <w:szCs w:val="20"/>
              </w:rPr>
              <w:t>£000s</w:t>
            </w:r>
          </w:p>
        </w:tc>
        <w:tc>
          <w:tcPr>
            <w:tcW w:w="1087" w:type="dxa"/>
            <w:shd w:val="clear" w:color="auto" w:fill="auto"/>
            <w:vAlign w:val="center"/>
            <w:hideMark/>
          </w:tcPr>
          <w:p w:rsidR="003D0832" w:rsidRPr="00682606" w:rsidRDefault="003D0832" w:rsidP="003D0832">
            <w:pPr>
              <w:spacing w:after="0" w:line="240" w:lineRule="auto"/>
              <w:jc w:val="center"/>
              <w:rPr>
                <w:b/>
                <w:bCs/>
                <w:sz w:val="20"/>
                <w:szCs w:val="20"/>
              </w:rPr>
            </w:pPr>
            <w:r>
              <w:rPr>
                <w:b/>
                <w:bCs/>
                <w:sz w:val="20"/>
                <w:szCs w:val="20"/>
              </w:rPr>
              <w:t>£000s</w:t>
            </w:r>
          </w:p>
        </w:tc>
        <w:tc>
          <w:tcPr>
            <w:tcW w:w="1169" w:type="dxa"/>
            <w:vAlign w:val="center"/>
          </w:tcPr>
          <w:p w:rsidR="003D0832" w:rsidRDefault="003D0832" w:rsidP="003D0832">
            <w:pPr>
              <w:spacing w:after="0" w:line="240" w:lineRule="auto"/>
              <w:jc w:val="center"/>
              <w:rPr>
                <w:b/>
                <w:bCs/>
                <w:sz w:val="20"/>
                <w:szCs w:val="20"/>
              </w:rPr>
            </w:pPr>
            <w:r>
              <w:rPr>
                <w:b/>
                <w:bCs/>
                <w:sz w:val="20"/>
                <w:szCs w:val="20"/>
              </w:rPr>
              <w:t>£000s</w:t>
            </w:r>
          </w:p>
        </w:tc>
        <w:tc>
          <w:tcPr>
            <w:tcW w:w="1170" w:type="dxa"/>
            <w:vAlign w:val="center"/>
          </w:tcPr>
          <w:p w:rsidR="003D0832" w:rsidRDefault="003D0832" w:rsidP="003D0832">
            <w:pPr>
              <w:spacing w:after="0" w:line="240" w:lineRule="auto"/>
              <w:jc w:val="center"/>
              <w:rPr>
                <w:b/>
                <w:bCs/>
                <w:sz w:val="20"/>
                <w:szCs w:val="20"/>
              </w:rPr>
            </w:pPr>
            <w:r>
              <w:rPr>
                <w:b/>
                <w:bCs/>
                <w:sz w:val="20"/>
                <w:szCs w:val="20"/>
              </w:rPr>
              <w:t>£000s</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Operational staff</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174,954</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170,678</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(4,276)</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236,033</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231,872</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(4,161)</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(4,703)</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542</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Other staff</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38,262</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38,548</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285</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52,628</w:t>
            </w:r>
          </w:p>
        </w:tc>
        <w:tc>
          <w:tcPr>
            <w:tcW w:w="1087" w:type="dxa"/>
            <w:shd w:val="clear" w:color="auto" w:fill="auto"/>
            <w:noWrap/>
            <w:vAlign w:val="center"/>
            <w:hideMark/>
          </w:tcPr>
          <w:p w:rsidR="001068C1" w:rsidRPr="00611BCA" w:rsidRDefault="001068C1" w:rsidP="000E7E1E">
            <w:pPr>
              <w:spacing w:after="0" w:line="240" w:lineRule="auto"/>
              <w:jc w:val="right"/>
              <w:rPr>
                <w:sz w:val="20"/>
                <w:szCs w:val="20"/>
                <w:highlight w:val="yellow"/>
              </w:rPr>
            </w:pPr>
            <w:r>
              <w:rPr>
                <w:sz w:val="20"/>
                <w:szCs w:val="20"/>
              </w:rPr>
              <w:t>52,</w:t>
            </w:r>
            <w:r w:rsidR="004E0FB6">
              <w:rPr>
                <w:sz w:val="20"/>
                <w:szCs w:val="20"/>
              </w:rPr>
              <w:t>268</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w:t>
            </w:r>
            <w:r w:rsidR="004E0FB6">
              <w:rPr>
                <w:sz w:val="20"/>
                <w:szCs w:val="20"/>
              </w:rPr>
              <w:t>36</w:t>
            </w:r>
            <w:r>
              <w:rPr>
                <w:sz w:val="20"/>
                <w:szCs w:val="20"/>
              </w:rPr>
              <w:t>0)</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150</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w:t>
            </w:r>
            <w:r w:rsidR="004E0FB6">
              <w:rPr>
                <w:sz w:val="20"/>
                <w:szCs w:val="20"/>
              </w:rPr>
              <w:t>510</w:t>
            </w:r>
            <w:r>
              <w:rPr>
                <w:sz w:val="20"/>
                <w:szCs w:val="20"/>
              </w:rPr>
              <w:t>)</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Employee related</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24,129</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21,597</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(2,532)</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26,365</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25,859</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(506)</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(828)</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321</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Pensions</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15,459</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13,828</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(1,631)</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20,489</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20,573</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84</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(210)</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294</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Premises</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32,479</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31,366</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(1,113)</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36,898</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37,223</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325</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849</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(523)</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Transport</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14,696</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14,595</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(101)</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15,276</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15,132</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(143)</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(91)</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(53)</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Supplies and services</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24,649</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26,811</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2,162</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28,457</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28,732</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275</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(500)</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776</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Third party payments</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1,970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1,906</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(63)</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2,651</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2,930</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279</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186</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93</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Capital financing costs</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1,824</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1,474</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(351)</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9,508</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9,508</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0</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Central contingency against inflation</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271</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271</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0</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r>
      <w:tr w:rsidR="001068C1" w:rsidRPr="004F7D9D" w:rsidTr="003D0832">
        <w:trPr>
          <w:trHeight w:val="255"/>
        </w:trPr>
        <w:tc>
          <w:tcPr>
            <w:tcW w:w="1951" w:type="dxa"/>
            <w:shd w:val="clear" w:color="000000" w:fill="C0C0C0"/>
            <w:vAlign w:val="center"/>
            <w:hideMark/>
          </w:tcPr>
          <w:p w:rsidR="001068C1" w:rsidRPr="004F7D9D" w:rsidRDefault="001068C1" w:rsidP="003D0832">
            <w:pPr>
              <w:spacing w:after="0" w:line="240" w:lineRule="auto"/>
              <w:rPr>
                <w:b/>
                <w:bCs/>
                <w:sz w:val="20"/>
                <w:szCs w:val="20"/>
              </w:rPr>
            </w:pPr>
            <w:r w:rsidRPr="004F7D9D">
              <w:rPr>
                <w:b/>
                <w:bCs/>
                <w:sz w:val="20"/>
                <w:szCs w:val="20"/>
              </w:rPr>
              <w:t>Total revenue expenditure</w:t>
            </w:r>
          </w:p>
        </w:tc>
        <w:tc>
          <w:tcPr>
            <w:tcW w:w="1086"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328,422</w:t>
            </w:r>
          </w:p>
        </w:tc>
        <w:tc>
          <w:tcPr>
            <w:tcW w:w="1087"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320,802</w:t>
            </w:r>
          </w:p>
        </w:tc>
        <w:tc>
          <w:tcPr>
            <w:tcW w:w="1087"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(7,620)</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428,576</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424,</w:t>
            </w:r>
            <w:r w:rsidR="004E0FB6">
              <w:rPr>
                <w:b/>
                <w:bCs/>
                <w:sz w:val="20"/>
                <w:szCs w:val="20"/>
              </w:rPr>
              <w:t>36</w:t>
            </w:r>
            <w:r>
              <w:rPr>
                <w:b/>
                <w:bCs/>
                <w:sz w:val="20"/>
                <w:szCs w:val="20"/>
              </w:rPr>
              <w:t>9</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(4,</w:t>
            </w:r>
            <w:r w:rsidR="004E0FB6">
              <w:rPr>
                <w:b/>
                <w:bCs/>
                <w:sz w:val="20"/>
                <w:szCs w:val="20"/>
              </w:rPr>
              <w:t>20</w:t>
            </w:r>
            <w:r>
              <w:rPr>
                <w:b/>
                <w:bCs/>
                <w:sz w:val="20"/>
                <w:szCs w:val="20"/>
              </w:rPr>
              <w:t>7)</w:t>
            </w:r>
          </w:p>
        </w:tc>
        <w:tc>
          <w:tcPr>
            <w:tcW w:w="1169"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(5,147)</w:t>
            </w:r>
          </w:p>
        </w:tc>
        <w:tc>
          <w:tcPr>
            <w:tcW w:w="1170" w:type="dxa"/>
            <w:shd w:val="clear" w:color="000000" w:fill="C0C0C0"/>
            <w:vAlign w:val="center"/>
          </w:tcPr>
          <w:p w:rsidR="001068C1" w:rsidRPr="00611BCA" w:rsidRDefault="004E0FB6" w:rsidP="003D0832">
            <w:pPr>
              <w:spacing w:after="0" w:line="240" w:lineRule="auto"/>
              <w:jc w:val="right"/>
              <w:rPr>
                <w:b/>
                <w:bCs/>
                <w:sz w:val="20"/>
                <w:szCs w:val="20"/>
                <w:highlight w:val="yellow"/>
              </w:rPr>
            </w:pPr>
            <w:r>
              <w:rPr>
                <w:b/>
                <w:bCs/>
                <w:sz w:val="20"/>
                <w:szCs w:val="20"/>
              </w:rPr>
              <w:t>940</w:t>
            </w:r>
          </w:p>
        </w:tc>
      </w:tr>
      <w:tr w:rsidR="001068C1" w:rsidRPr="004F7D9D" w:rsidTr="003D0832">
        <w:trPr>
          <w:trHeight w:val="255"/>
        </w:trPr>
        <w:tc>
          <w:tcPr>
            <w:tcW w:w="1951" w:type="dxa"/>
            <w:shd w:val="clear" w:color="auto" w:fill="auto"/>
            <w:vAlign w:val="center"/>
          </w:tcPr>
          <w:p w:rsidR="001068C1" w:rsidRPr="004F7D9D" w:rsidRDefault="001068C1" w:rsidP="003D0832">
            <w:pPr>
              <w:spacing w:after="0" w:line="240" w:lineRule="auto"/>
              <w:rPr>
                <w:sz w:val="20"/>
                <w:szCs w:val="20"/>
              </w:rPr>
            </w:pP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 xml:space="preserve">Other income </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(32,900)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(33,082)</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(182)</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(35,545)</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(35,957)</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(412)</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(124)</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(288)</w:t>
            </w:r>
          </w:p>
        </w:tc>
      </w:tr>
      <w:tr w:rsidR="001068C1" w:rsidRPr="004F7D9D" w:rsidTr="003D0832">
        <w:trPr>
          <w:trHeight w:val="255"/>
        </w:trPr>
        <w:tc>
          <w:tcPr>
            <w:tcW w:w="1951" w:type="dxa"/>
            <w:shd w:val="clear" w:color="000000" w:fill="C0C0C0"/>
            <w:vAlign w:val="center"/>
            <w:hideMark/>
          </w:tcPr>
          <w:p w:rsidR="001068C1" w:rsidRPr="004F7D9D" w:rsidRDefault="001068C1" w:rsidP="003D0832">
            <w:pPr>
              <w:spacing w:after="0" w:line="240" w:lineRule="auto"/>
              <w:rPr>
                <w:b/>
                <w:bCs/>
                <w:sz w:val="20"/>
                <w:szCs w:val="20"/>
              </w:rPr>
            </w:pPr>
            <w:r w:rsidRPr="004F7D9D">
              <w:rPr>
                <w:b/>
                <w:bCs/>
                <w:sz w:val="20"/>
                <w:szCs w:val="20"/>
              </w:rPr>
              <w:t>Net revenue expenditure</w:t>
            </w:r>
          </w:p>
        </w:tc>
        <w:tc>
          <w:tcPr>
            <w:tcW w:w="1086"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295,522</w:t>
            </w:r>
          </w:p>
        </w:tc>
        <w:tc>
          <w:tcPr>
            <w:tcW w:w="1087"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287,719</w:t>
            </w:r>
          </w:p>
        </w:tc>
        <w:tc>
          <w:tcPr>
            <w:tcW w:w="1087"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(7,802)</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393,031</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388,</w:t>
            </w:r>
            <w:r w:rsidR="00A44E77">
              <w:rPr>
                <w:b/>
                <w:bCs/>
                <w:sz w:val="20"/>
                <w:szCs w:val="20"/>
              </w:rPr>
              <w:t>41</w:t>
            </w:r>
            <w:r>
              <w:rPr>
                <w:b/>
                <w:bCs/>
                <w:sz w:val="20"/>
                <w:szCs w:val="20"/>
              </w:rPr>
              <w:t>2</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(4,</w:t>
            </w:r>
            <w:r w:rsidR="00A44E77">
              <w:rPr>
                <w:b/>
                <w:bCs/>
                <w:sz w:val="20"/>
                <w:szCs w:val="20"/>
              </w:rPr>
              <w:t>619</w:t>
            </w:r>
            <w:r>
              <w:rPr>
                <w:b/>
                <w:bCs/>
                <w:sz w:val="20"/>
                <w:szCs w:val="20"/>
              </w:rPr>
              <w:t>)</w:t>
            </w:r>
          </w:p>
        </w:tc>
        <w:tc>
          <w:tcPr>
            <w:tcW w:w="1169"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(5,271)</w:t>
            </w:r>
          </w:p>
        </w:tc>
        <w:tc>
          <w:tcPr>
            <w:tcW w:w="1170" w:type="dxa"/>
            <w:shd w:val="clear" w:color="000000" w:fill="C0C0C0"/>
            <w:vAlign w:val="center"/>
          </w:tcPr>
          <w:p w:rsidR="001068C1" w:rsidRPr="00611BCA" w:rsidRDefault="00A44E77" w:rsidP="003D0832">
            <w:pPr>
              <w:spacing w:after="0" w:line="240" w:lineRule="auto"/>
              <w:jc w:val="right"/>
              <w:rPr>
                <w:b/>
                <w:bCs/>
                <w:sz w:val="20"/>
                <w:szCs w:val="20"/>
                <w:highlight w:val="yellow"/>
              </w:rPr>
            </w:pPr>
            <w:r>
              <w:rPr>
                <w:b/>
                <w:bCs/>
                <w:sz w:val="20"/>
                <w:szCs w:val="20"/>
              </w:rPr>
              <w:t>652</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b/>
                <w:bCs/>
                <w:sz w:val="20"/>
                <w:szCs w:val="20"/>
              </w:rPr>
            </w:pPr>
            <w:r w:rsidRPr="004F7D9D">
              <w:rPr>
                <w:b/>
                <w:bCs/>
                <w:sz w:val="20"/>
                <w:szCs w:val="20"/>
              </w:rPr>
              <w:t> </w:t>
            </w:r>
          </w:p>
        </w:tc>
        <w:tc>
          <w:tcPr>
            <w:tcW w:w="1086" w:type="dxa"/>
            <w:vAlign w:val="center"/>
          </w:tcPr>
          <w:p w:rsidR="001068C1" w:rsidRPr="00611BCA" w:rsidRDefault="001068C1" w:rsidP="003D0832">
            <w:pPr>
              <w:spacing w:after="0" w:line="240" w:lineRule="auto"/>
              <w:jc w:val="right"/>
              <w:rPr>
                <w:b/>
                <w:bCs/>
                <w:sz w:val="20"/>
                <w:szCs w:val="20"/>
                <w:highlight w:val="yellow"/>
              </w:rPr>
            </w:pPr>
            <w:r>
              <w:rPr>
                <w:b/>
                <w:bCs/>
                <w:sz w:val="20"/>
                <w:szCs w:val="20"/>
              </w:rPr>
              <w:t> </w:t>
            </w:r>
          </w:p>
        </w:tc>
        <w:tc>
          <w:tcPr>
            <w:tcW w:w="1087" w:type="dxa"/>
            <w:vAlign w:val="center"/>
          </w:tcPr>
          <w:p w:rsidR="001068C1" w:rsidRPr="00611BCA" w:rsidRDefault="001068C1" w:rsidP="003D0832">
            <w:pPr>
              <w:spacing w:after="0" w:line="240" w:lineRule="auto"/>
              <w:jc w:val="right"/>
              <w:rPr>
                <w:b/>
                <w:bCs/>
                <w:sz w:val="20"/>
                <w:szCs w:val="20"/>
                <w:highlight w:val="yellow"/>
              </w:rPr>
            </w:pPr>
            <w:r>
              <w:rPr>
                <w:b/>
                <w:bCs/>
                <w:sz w:val="20"/>
                <w:szCs w:val="20"/>
              </w:rPr>
              <w:t> </w:t>
            </w:r>
          </w:p>
        </w:tc>
        <w:tc>
          <w:tcPr>
            <w:tcW w:w="1087" w:type="dxa"/>
            <w:vAlign w:val="center"/>
          </w:tcPr>
          <w:p w:rsidR="001068C1" w:rsidRPr="00611BCA" w:rsidRDefault="001068C1" w:rsidP="003D0832">
            <w:pPr>
              <w:spacing w:after="0" w:line="240" w:lineRule="auto"/>
              <w:jc w:val="right"/>
              <w:rPr>
                <w:b/>
                <w:bCs/>
                <w:sz w:val="20"/>
                <w:szCs w:val="20"/>
                <w:highlight w:val="yellow"/>
              </w:rPr>
            </w:pPr>
            <w:r>
              <w:rPr>
                <w:b/>
                <w:bCs/>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 </w:t>
            </w:r>
          </w:p>
        </w:tc>
        <w:tc>
          <w:tcPr>
            <w:tcW w:w="1169" w:type="dxa"/>
            <w:vAlign w:val="center"/>
          </w:tcPr>
          <w:p w:rsidR="001068C1" w:rsidRPr="00611BCA" w:rsidRDefault="001068C1" w:rsidP="003D0832">
            <w:pPr>
              <w:spacing w:after="0" w:line="240" w:lineRule="auto"/>
              <w:jc w:val="right"/>
              <w:rPr>
                <w:b/>
                <w:bCs/>
                <w:sz w:val="20"/>
                <w:szCs w:val="20"/>
                <w:highlight w:val="yellow"/>
              </w:rPr>
            </w:pPr>
            <w:r>
              <w:rPr>
                <w:b/>
                <w:bCs/>
                <w:sz w:val="20"/>
                <w:szCs w:val="20"/>
              </w:rPr>
              <w:t> </w:t>
            </w:r>
          </w:p>
        </w:tc>
        <w:tc>
          <w:tcPr>
            <w:tcW w:w="1170" w:type="dxa"/>
            <w:vAlign w:val="center"/>
          </w:tcPr>
          <w:p w:rsidR="001068C1" w:rsidRPr="00611BCA" w:rsidRDefault="001068C1" w:rsidP="003D0832">
            <w:pPr>
              <w:spacing w:after="0" w:line="240" w:lineRule="auto"/>
              <w:jc w:val="right"/>
              <w:rPr>
                <w:b/>
                <w:bCs/>
                <w:sz w:val="20"/>
                <w:szCs w:val="20"/>
                <w:highlight w:val="yellow"/>
              </w:rPr>
            </w:pPr>
            <w:r>
              <w:rPr>
                <w:b/>
                <w:bCs/>
                <w:sz w:val="20"/>
                <w:szCs w:val="20"/>
              </w:rPr>
              <w:t> </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Use of earmarked reserves</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3,526</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3,526</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(0)</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r>
      <w:tr w:rsidR="001068C1" w:rsidRPr="004F7D9D" w:rsidTr="003D0832">
        <w:trPr>
          <w:trHeight w:val="255"/>
        </w:trPr>
        <w:tc>
          <w:tcPr>
            <w:tcW w:w="1951" w:type="dxa"/>
            <w:shd w:val="clear" w:color="000000" w:fill="C0C0C0"/>
            <w:vAlign w:val="center"/>
            <w:hideMark/>
          </w:tcPr>
          <w:p w:rsidR="001068C1" w:rsidRPr="004F7D9D" w:rsidRDefault="001068C1" w:rsidP="003D0832">
            <w:pPr>
              <w:spacing w:after="0" w:line="240" w:lineRule="auto"/>
              <w:rPr>
                <w:b/>
                <w:bCs/>
                <w:sz w:val="20"/>
                <w:szCs w:val="20"/>
              </w:rPr>
            </w:pPr>
            <w:r w:rsidRPr="004F7D9D">
              <w:rPr>
                <w:b/>
                <w:bCs/>
                <w:sz w:val="20"/>
                <w:szCs w:val="20"/>
              </w:rPr>
              <w:t>Financing Requirement</w:t>
            </w:r>
          </w:p>
        </w:tc>
        <w:tc>
          <w:tcPr>
            <w:tcW w:w="1086"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295,522</w:t>
            </w:r>
          </w:p>
        </w:tc>
        <w:tc>
          <w:tcPr>
            <w:tcW w:w="1087"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287,719</w:t>
            </w:r>
          </w:p>
        </w:tc>
        <w:tc>
          <w:tcPr>
            <w:tcW w:w="1087"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(7,802)</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396,557</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391,</w:t>
            </w:r>
            <w:r w:rsidR="00A44E77">
              <w:rPr>
                <w:b/>
                <w:bCs/>
                <w:sz w:val="20"/>
                <w:szCs w:val="20"/>
              </w:rPr>
              <w:t>938</w:t>
            </w:r>
          </w:p>
        </w:tc>
        <w:tc>
          <w:tcPr>
            <w:tcW w:w="1087" w:type="dxa"/>
            <w:shd w:val="clear" w:color="000000" w:fill="C0C0C0"/>
            <w:noWrap/>
            <w:vAlign w:val="center"/>
            <w:hideMark/>
          </w:tcPr>
          <w:p w:rsidR="001068C1" w:rsidRPr="00611BCA" w:rsidRDefault="001068C1" w:rsidP="003D0832">
            <w:pPr>
              <w:spacing w:after="0" w:line="240" w:lineRule="auto"/>
              <w:jc w:val="right"/>
              <w:rPr>
                <w:b/>
                <w:bCs/>
                <w:sz w:val="20"/>
                <w:szCs w:val="20"/>
                <w:highlight w:val="yellow"/>
              </w:rPr>
            </w:pPr>
            <w:r>
              <w:rPr>
                <w:b/>
                <w:bCs/>
                <w:sz w:val="20"/>
                <w:szCs w:val="20"/>
              </w:rPr>
              <w:t>(4,</w:t>
            </w:r>
            <w:r w:rsidR="00A44E77">
              <w:rPr>
                <w:b/>
                <w:bCs/>
                <w:sz w:val="20"/>
                <w:szCs w:val="20"/>
              </w:rPr>
              <w:t>619</w:t>
            </w:r>
            <w:r>
              <w:rPr>
                <w:b/>
                <w:bCs/>
                <w:sz w:val="20"/>
                <w:szCs w:val="20"/>
              </w:rPr>
              <w:t>)</w:t>
            </w:r>
          </w:p>
        </w:tc>
        <w:tc>
          <w:tcPr>
            <w:tcW w:w="1169" w:type="dxa"/>
            <w:shd w:val="clear" w:color="000000" w:fill="C0C0C0"/>
            <w:vAlign w:val="center"/>
          </w:tcPr>
          <w:p w:rsidR="001068C1" w:rsidRPr="00611BCA" w:rsidRDefault="001068C1" w:rsidP="003D0832">
            <w:pPr>
              <w:spacing w:after="0" w:line="240" w:lineRule="auto"/>
              <w:jc w:val="right"/>
              <w:rPr>
                <w:b/>
                <w:bCs/>
                <w:sz w:val="20"/>
                <w:szCs w:val="20"/>
                <w:highlight w:val="yellow"/>
              </w:rPr>
            </w:pPr>
            <w:r>
              <w:rPr>
                <w:b/>
                <w:bCs/>
                <w:sz w:val="20"/>
                <w:szCs w:val="20"/>
              </w:rPr>
              <w:t>(5,271)</w:t>
            </w:r>
          </w:p>
        </w:tc>
        <w:tc>
          <w:tcPr>
            <w:tcW w:w="1170" w:type="dxa"/>
            <w:shd w:val="clear" w:color="000000" w:fill="C0C0C0"/>
            <w:vAlign w:val="center"/>
          </w:tcPr>
          <w:p w:rsidR="001068C1" w:rsidRPr="00611BCA" w:rsidRDefault="00A44E77" w:rsidP="003D0832">
            <w:pPr>
              <w:spacing w:after="0" w:line="240" w:lineRule="auto"/>
              <w:jc w:val="right"/>
              <w:rPr>
                <w:b/>
                <w:bCs/>
                <w:sz w:val="20"/>
                <w:szCs w:val="20"/>
                <w:highlight w:val="yellow"/>
              </w:rPr>
            </w:pPr>
            <w:r>
              <w:rPr>
                <w:b/>
                <w:bCs/>
                <w:sz w:val="20"/>
                <w:szCs w:val="20"/>
              </w:rPr>
              <w:t>652</w:t>
            </w:r>
          </w:p>
        </w:tc>
      </w:tr>
      <w:tr w:rsidR="001068C1" w:rsidRPr="004F7D9D" w:rsidTr="003D0832">
        <w:trPr>
          <w:trHeight w:val="255"/>
        </w:trPr>
        <w:tc>
          <w:tcPr>
            <w:tcW w:w="1951" w:type="dxa"/>
            <w:shd w:val="clear" w:color="auto" w:fill="auto"/>
            <w:vAlign w:val="center"/>
          </w:tcPr>
          <w:p w:rsidR="001068C1" w:rsidRPr="004F7D9D" w:rsidRDefault="001068C1" w:rsidP="003D0832">
            <w:pPr>
              <w:spacing w:after="0" w:line="240" w:lineRule="auto"/>
              <w:rPr>
                <w:sz w:val="20"/>
                <w:szCs w:val="20"/>
              </w:rPr>
            </w:pP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Financed by:</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 </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 </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Specific grants</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(11,528)</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(12,832)</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(1,304)</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(14,129)</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(14,240)</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(111)</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(14)</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(97)</w:t>
            </w:r>
          </w:p>
        </w:tc>
      </w:tr>
      <w:tr w:rsidR="001068C1" w:rsidRPr="004F7D9D" w:rsidTr="003D0832">
        <w:trPr>
          <w:trHeight w:val="255"/>
        </w:trPr>
        <w:tc>
          <w:tcPr>
            <w:tcW w:w="1951" w:type="dxa"/>
            <w:shd w:val="clear" w:color="auto" w:fill="auto"/>
            <w:vAlign w:val="center"/>
            <w:hideMark/>
          </w:tcPr>
          <w:p w:rsidR="001068C1" w:rsidRPr="004F7D9D" w:rsidRDefault="001068C1" w:rsidP="003D0832">
            <w:pPr>
              <w:spacing w:after="0" w:line="240" w:lineRule="auto"/>
              <w:rPr>
                <w:sz w:val="20"/>
                <w:szCs w:val="20"/>
              </w:rPr>
            </w:pPr>
            <w:r w:rsidRPr="004F7D9D">
              <w:rPr>
                <w:sz w:val="20"/>
                <w:szCs w:val="20"/>
              </w:rPr>
              <w:t>GLA funding</w:t>
            </w:r>
          </w:p>
        </w:tc>
        <w:tc>
          <w:tcPr>
            <w:tcW w:w="1086"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(382,428)</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(382,428)</w:t>
            </w:r>
          </w:p>
        </w:tc>
        <w:tc>
          <w:tcPr>
            <w:tcW w:w="1087" w:type="dxa"/>
            <w:shd w:val="clear" w:color="auto" w:fill="auto"/>
            <w:noWrap/>
            <w:vAlign w:val="center"/>
            <w:hideMark/>
          </w:tcPr>
          <w:p w:rsidR="001068C1" w:rsidRPr="00611BCA" w:rsidRDefault="001068C1" w:rsidP="003D0832">
            <w:pPr>
              <w:spacing w:after="0" w:line="240" w:lineRule="auto"/>
              <w:jc w:val="right"/>
              <w:rPr>
                <w:sz w:val="20"/>
                <w:szCs w:val="20"/>
                <w:highlight w:val="yellow"/>
              </w:rPr>
            </w:pPr>
            <w:r>
              <w:rPr>
                <w:sz w:val="20"/>
                <w:szCs w:val="20"/>
              </w:rPr>
              <w:t>0</w:t>
            </w:r>
          </w:p>
        </w:tc>
        <w:tc>
          <w:tcPr>
            <w:tcW w:w="1169"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c>
          <w:tcPr>
            <w:tcW w:w="1170" w:type="dxa"/>
            <w:vAlign w:val="center"/>
          </w:tcPr>
          <w:p w:rsidR="001068C1" w:rsidRPr="00611BCA" w:rsidRDefault="001068C1" w:rsidP="003D0832">
            <w:pPr>
              <w:spacing w:after="0" w:line="240" w:lineRule="auto"/>
              <w:jc w:val="right"/>
              <w:rPr>
                <w:sz w:val="20"/>
                <w:szCs w:val="20"/>
                <w:highlight w:val="yellow"/>
              </w:rPr>
            </w:pPr>
            <w:r>
              <w:rPr>
                <w:sz w:val="20"/>
                <w:szCs w:val="20"/>
              </w:rPr>
              <w:t>0</w:t>
            </w:r>
          </w:p>
        </w:tc>
      </w:tr>
      <w:tr w:rsidR="001068C1" w:rsidRPr="00682606" w:rsidTr="008F7D44">
        <w:trPr>
          <w:trHeight w:val="255"/>
        </w:trPr>
        <w:tc>
          <w:tcPr>
            <w:tcW w:w="1951" w:type="dxa"/>
            <w:shd w:val="clear" w:color="auto" w:fill="auto"/>
            <w:vAlign w:val="center"/>
            <w:hideMark/>
          </w:tcPr>
          <w:p w:rsidR="001068C1" w:rsidRPr="004F7D9D" w:rsidRDefault="001068C1" w:rsidP="003D0832">
            <w:pPr>
              <w:spacing w:after="0" w:line="240" w:lineRule="auto"/>
              <w:rPr>
                <w:b/>
                <w:bCs/>
                <w:sz w:val="20"/>
                <w:szCs w:val="20"/>
              </w:rPr>
            </w:pPr>
          </w:p>
        </w:tc>
        <w:tc>
          <w:tcPr>
            <w:tcW w:w="1086" w:type="dxa"/>
            <w:shd w:val="clear" w:color="auto" w:fill="auto"/>
            <w:vAlign w:val="center"/>
          </w:tcPr>
          <w:p w:rsidR="001068C1" w:rsidRPr="00611BCA" w:rsidRDefault="001068C1" w:rsidP="003D0832">
            <w:pPr>
              <w:spacing w:after="0" w:line="240" w:lineRule="auto"/>
              <w:jc w:val="right"/>
              <w:rPr>
                <w:b/>
                <w:bCs/>
                <w:sz w:val="20"/>
                <w:szCs w:val="20"/>
                <w:highlight w:val="yellow"/>
              </w:rPr>
            </w:pPr>
            <w:r>
              <w:rPr>
                <w:sz w:val="20"/>
                <w:szCs w:val="20"/>
              </w:rPr>
              <w:t> </w:t>
            </w:r>
          </w:p>
        </w:tc>
        <w:tc>
          <w:tcPr>
            <w:tcW w:w="1087" w:type="dxa"/>
            <w:shd w:val="clear" w:color="auto" w:fill="auto"/>
            <w:vAlign w:val="center"/>
          </w:tcPr>
          <w:p w:rsidR="001068C1" w:rsidRPr="00611BCA" w:rsidRDefault="001068C1" w:rsidP="003D0832">
            <w:pPr>
              <w:spacing w:after="0" w:line="240" w:lineRule="auto"/>
              <w:jc w:val="right"/>
              <w:rPr>
                <w:b/>
                <w:bCs/>
                <w:sz w:val="20"/>
                <w:szCs w:val="20"/>
                <w:highlight w:val="yellow"/>
              </w:rPr>
            </w:pPr>
            <w:r>
              <w:rPr>
                <w:sz w:val="20"/>
                <w:szCs w:val="20"/>
              </w:rPr>
              <w:t> </w:t>
            </w:r>
          </w:p>
        </w:tc>
        <w:tc>
          <w:tcPr>
            <w:tcW w:w="1087" w:type="dxa"/>
            <w:shd w:val="clear" w:color="auto" w:fill="auto"/>
            <w:vAlign w:val="center"/>
          </w:tcPr>
          <w:p w:rsidR="001068C1" w:rsidRPr="00611BCA" w:rsidRDefault="001068C1" w:rsidP="003D0832">
            <w:pPr>
              <w:spacing w:after="0" w:line="240" w:lineRule="auto"/>
              <w:jc w:val="right"/>
              <w:rPr>
                <w:b/>
                <w:bCs/>
                <w:sz w:val="20"/>
                <w:szCs w:val="20"/>
                <w:highlight w:val="yellow"/>
              </w:rPr>
            </w:pPr>
            <w:r>
              <w:rPr>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b/>
                <w:bCs/>
                <w:sz w:val="20"/>
                <w:szCs w:val="20"/>
                <w:highlight w:val="yellow"/>
              </w:rPr>
            </w:pPr>
            <w:r>
              <w:rPr>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b/>
                <w:bCs/>
                <w:sz w:val="20"/>
                <w:szCs w:val="20"/>
                <w:highlight w:val="yellow"/>
              </w:rPr>
            </w:pPr>
            <w:r>
              <w:rPr>
                <w:sz w:val="20"/>
                <w:szCs w:val="20"/>
              </w:rPr>
              <w:t> </w:t>
            </w:r>
          </w:p>
        </w:tc>
        <w:tc>
          <w:tcPr>
            <w:tcW w:w="1087" w:type="dxa"/>
            <w:shd w:val="clear" w:color="auto" w:fill="auto"/>
            <w:noWrap/>
            <w:vAlign w:val="center"/>
            <w:hideMark/>
          </w:tcPr>
          <w:p w:rsidR="001068C1" w:rsidRPr="00611BCA" w:rsidRDefault="001068C1" w:rsidP="003D0832">
            <w:pPr>
              <w:spacing w:after="0" w:line="240" w:lineRule="auto"/>
              <w:jc w:val="right"/>
              <w:rPr>
                <w:b/>
                <w:bCs/>
                <w:sz w:val="20"/>
                <w:szCs w:val="20"/>
                <w:highlight w:val="yellow"/>
              </w:rPr>
            </w:pPr>
            <w:r>
              <w:rPr>
                <w:sz w:val="20"/>
                <w:szCs w:val="20"/>
              </w:rPr>
              <w:t> </w:t>
            </w:r>
          </w:p>
        </w:tc>
        <w:tc>
          <w:tcPr>
            <w:tcW w:w="1169" w:type="dxa"/>
            <w:shd w:val="clear" w:color="auto" w:fill="auto"/>
            <w:vAlign w:val="center"/>
          </w:tcPr>
          <w:p w:rsidR="001068C1" w:rsidRPr="00611BCA" w:rsidRDefault="001068C1" w:rsidP="003D0832">
            <w:pPr>
              <w:spacing w:after="0" w:line="240" w:lineRule="auto"/>
              <w:jc w:val="right"/>
              <w:rPr>
                <w:b/>
                <w:bCs/>
                <w:sz w:val="20"/>
                <w:szCs w:val="20"/>
                <w:highlight w:val="yellow"/>
              </w:rPr>
            </w:pPr>
            <w:r>
              <w:rPr>
                <w:sz w:val="20"/>
                <w:szCs w:val="20"/>
              </w:rPr>
              <w:t> </w:t>
            </w:r>
          </w:p>
        </w:tc>
        <w:tc>
          <w:tcPr>
            <w:tcW w:w="1170" w:type="dxa"/>
            <w:shd w:val="clear" w:color="auto" w:fill="auto"/>
            <w:vAlign w:val="center"/>
          </w:tcPr>
          <w:p w:rsidR="001068C1" w:rsidRPr="00611BCA" w:rsidRDefault="001068C1" w:rsidP="003D0832">
            <w:pPr>
              <w:spacing w:after="0" w:line="240" w:lineRule="auto"/>
              <w:jc w:val="right"/>
              <w:rPr>
                <w:b/>
                <w:bCs/>
                <w:sz w:val="20"/>
                <w:szCs w:val="20"/>
                <w:highlight w:val="yellow"/>
              </w:rPr>
            </w:pPr>
            <w:r>
              <w:rPr>
                <w:sz w:val="20"/>
                <w:szCs w:val="20"/>
              </w:rPr>
              <w:t> </w:t>
            </w:r>
          </w:p>
        </w:tc>
      </w:tr>
      <w:tr w:rsidR="001068C1" w:rsidRPr="00682606" w:rsidTr="003D0832">
        <w:trPr>
          <w:trHeight w:val="255"/>
        </w:trPr>
        <w:tc>
          <w:tcPr>
            <w:tcW w:w="1951" w:type="dxa"/>
            <w:shd w:val="clear" w:color="000000" w:fill="C0C0C0"/>
            <w:vAlign w:val="center"/>
          </w:tcPr>
          <w:p w:rsidR="001068C1" w:rsidRPr="004F7D9D" w:rsidRDefault="001068C1" w:rsidP="00173447">
            <w:pPr>
              <w:spacing w:after="0" w:line="240" w:lineRule="auto"/>
              <w:rPr>
                <w:b/>
                <w:bCs/>
                <w:sz w:val="20"/>
                <w:szCs w:val="20"/>
              </w:rPr>
            </w:pPr>
            <w:r w:rsidRPr="004F7D9D">
              <w:rPr>
                <w:b/>
                <w:bCs/>
                <w:sz w:val="20"/>
                <w:szCs w:val="20"/>
              </w:rPr>
              <w:t xml:space="preserve">Net </w:t>
            </w:r>
            <w:r w:rsidR="00262CBF">
              <w:rPr>
                <w:b/>
                <w:bCs/>
                <w:sz w:val="20"/>
                <w:szCs w:val="20"/>
              </w:rPr>
              <w:t>Position</w:t>
            </w:r>
          </w:p>
        </w:tc>
        <w:tc>
          <w:tcPr>
            <w:tcW w:w="1086" w:type="dxa"/>
            <w:shd w:val="clear" w:color="000000" w:fill="C0C0C0"/>
            <w:vAlign w:val="center"/>
          </w:tcPr>
          <w:p w:rsidR="001068C1" w:rsidRPr="00611BCA" w:rsidRDefault="001068C1" w:rsidP="003D0832">
            <w:pPr>
              <w:spacing w:after="0" w:line="240" w:lineRule="auto"/>
              <w:jc w:val="right"/>
              <w:rPr>
                <w:sz w:val="20"/>
                <w:szCs w:val="20"/>
                <w:highlight w:val="yellow"/>
              </w:rPr>
            </w:pPr>
            <w:r>
              <w:rPr>
                <w:b/>
                <w:bCs/>
                <w:sz w:val="20"/>
                <w:szCs w:val="20"/>
              </w:rPr>
              <w:t>283,994</w:t>
            </w:r>
          </w:p>
        </w:tc>
        <w:tc>
          <w:tcPr>
            <w:tcW w:w="1087" w:type="dxa"/>
            <w:shd w:val="clear" w:color="000000" w:fill="C0C0C0"/>
            <w:vAlign w:val="center"/>
          </w:tcPr>
          <w:p w:rsidR="001068C1" w:rsidRPr="00611BCA" w:rsidRDefault="001068C1" w:rsidP="003D0832">
            <w:pPr>
              <w:spacing w:after="0" w:line="240" w:lineRule="auto"/>
              <w:jc w:val="right"/>
              <w:rPr>
                <w:sz w:val="20"/>
                <w:szCs w:val="20"/>
                <w:highlight w:val="yellow"/>
              </w:rPr>
            </w:pPr>
            <w:r>
              <w:rPr>
                <w:b/>
                <w:bCs/>
                <w:sz w:val="20"/>
                <w:szCs w:val="20"/>
              </w:rPr>
              <w:t>274,887</w:t>
            </w:r>
          </w:p>
        </w:tc>
        <w:tc>
          <w:tcPr>
            <w:tcW w:w="1087" w:type="dxa"/>
            <w:shd w:val="clear" w:color="000000" w:fill="C0C0C0"/>
            <w:vAlign w:val="center"/>
          </w:tcPr>
          <w:p w:rsidR="001068C1" w:rsidRPr="00611BCA" w:rsidRDefault="001068C1" w:rsidP="003D0832">
            <w:pPr>
              <w:spacing w:after="0" w:line="240" w:lineRule="auto"/>
              <w:jc w:val="right"/>
              <w:rPr>
                <w:sz w:val="20"/>
                <w:szCs w:val="20"/>
                <w:highlight w:val="yellow"/>
              </w:rPr>
            </w:pPr>
            <w:r>
              <w:rPr>
                <w:b/>
                <w:bCs/>
                <w:sz w:val="20"/>
                <w:szCs w:val="20"/>
              </w:rPr>
              <w:t>(9,106)</w:t>
            </w:r>
          </w:p>
        </w:tc>
        <w:tc>
          <w:tcPr>
            <w:tcW w:w="1087" w:type="dxa"/>
            <w:shd w:val="clear" w:color="000000" w:fill="C0C0C0"/>
            <w:noWrap/>
            <w:vAlign w:val="center"/>
          </w:tcPr>
          <w:p w:rsidR="001068C1" w:rsidRPr="00611BCA" w:rsidRDefault="001068C1" w:rsidP="003D0832">
            <w:pPr>
              <w:spacing w:after="0" w:line="240" w:lineRule="auto"/>
              <w:jc w:val="right"/>
              <w:rPr>
                <w:sz w:val="20"/>
                <w:szCs w:val="20"/>
                <w:highlight w:val="yellow"/>
              </w:rPr>
            </w:pPr>
            <w:r>
              <w:rPr>
                <w:b/>
                <w:bCs/>
                <w:sz w:val="20"/>
                <w:szCs w:val="20"/>
              </w:rPr>
              <w:t>0</w:t>
            </w:r>
          </w:p>
        </w:tc>
        <w:tc>
          <w:tcPr>
            <w:tcW w:w="1087" w:type="dxa"/>
            <w:shd w:val="clear" w:color="000000" w:fill="C0C0C0"/>
            <w:noWrap/>
            <w:vAlign w:val="center"/>
          </w:tcPr>
          <w:p w:rsidR="001068C1" w:rsidRPr="00611BCA" w:rsidRDefault="001068C1" w:rsidP="003D0832">
            <w:pPr>
              <w:spacing w:after="0" w:line="240" w:lineRule="auto"/>
              <w:jc w:val="right"/>
              <w:rPr>
                <w:sz w:val="20"/>
                <w:szCs w:val="20"/>
                <w:highlight w:val="yellow"/>
              </w:rPr>
            </w:pPr>
            <w:r>
              <w:rPr>
                <w:b/>
                <w:bCs/>
                <w:sz w:val="20"/>
                <w:szCs w:val="20"/>
              </w:rPr>
              <w:t>(4,</w:t>
            </w:r>
            <w:r w:rsidR="000E7E1E">
              <w:rPr>
                <w:b/>
                <w:bCs/>
                <w:sz w:val="20"/>
                <w:szCs w:val="20"/>
              </w:rPr>
              <w:t>73</w:t>
            </w:r>
            <w:r>
              <w:rPr>
                <w:b/>
                <w:bCs/>
                <w:sz w:val="20"/>
                <w:szCs w:val="20"/>
              </w:rPr>
              <w:t>0)</w:t>
            </w:r>
          </w:p>
        </w:tc>
        <w:tc>
          <w:tcPr>
            <w:tcW w:w="1087" w:type="dxa"/>
            <w:shd w:val="clear" w:color="000000" w:fill="C0C0C0"/>
            <w:noWrap/>
            <w:vAlign w:val="center"/>
          </w:tcPr>
          <w:p w:rsidR="001068C1" w:rsidRPr="00611BCA" w:rsidRDefault="001068C1" w:rsidP="003D0832">
            <w:pPr>
              <w:spacing w:after="0" w:line="240" w:lineRule="auto"/>
              <w:jc w:val="right"/>
              <w:rPr>
                <w:sz w:val="20"/>
                <w:szCs w:val="20"/>
                <w:highlight w:val="yellow"/>
              </w:rPr>
            </w:pPr>
            <w:r>
              <w:rPr>
                <w:b/>
                <w:bCs/>
                <w:sz w:val="20"/>
                <w:szCs w:val="20"/>
              </w:rPr>
              <w:t>(4,</w:t>
            </w:r>
            <w:r w:rsidR="000E7E1E">
              <w:rPr>
                <w:b/>
                <w:bCs/>
                <w:sz w:val="20"/>
                <w:szCs w:val="20"/>
              </w:rPr>
              <w:t>73</w:t>
            </w:r>
            <w:r>
              <w:rPr>
                <w:b/>
                <w:bCs/>
                <w:sz w:val="20"/>
                <w:szCs w:val="20"/>
              </w:rPr>
              <w:t>0)</w:t>
            </w:r>
          </w:p>
        </w:tc>
        <w:tc>
          <w:tcPr>
            <w:tcW w:w="1169" w:type="dxa"/>
            <w:shd w:val="clear" w:color="000000" w:fill="C0C0C0"/>
            <w:vAlign w:val="center"/>
          </w:tcPr>
          <w:p w:rsidR="001068C1" w:rsidRPr="00611BCA" w:rsidRDefault="001068C1" w:rsidP="003D0832">
            <w:pPr>
              <w:spacing w:after="0" w:line="240" w:lineRule="auto"/>
              <w:jc w:val="right"/>
              <w:rPr>
                <w:sz w:val="20"/>
                <w:szCs w:val="20"/>
                <w:highlight w:val="yellow"/>
              </w:rPr>
            </w:pPr>
            <w:r>
              <w:rPr>
                <w:b/>
                <w:bCs/>
                <w:sz w:val="20"/>
                <w:szCs w:val="20"/>
              </w:rPr>
              <w:t>(5,285)</w:t>
            </w:r>
          </w:p>
        </w:tc>
        <w:tc>
          <w:tcPr>
            <w:tcW w:w="1170" w:type="dxa"/>
            <w:shd w:val="clear" w:color="000000" w:fill="C0C0C0"/>
            <w:vAlign w:val="center"/>
          </w:tcPr>
          <w:p w:rsidR="001068C1" w:rsidRPr="00611BCA" w:rsidRDefault="000E7E1E" w:rsidP="003D0832">
            <w:pPr>
              <w:spacing w:after="0" w:line="240" w:lineRule="auto"/>
              <w:jc w:val="right"/>
              <w:rPr>
                <w:sz w:val="20"/>
                <w:szCs w:val="20"/>
                <w:highlight w:val="yellow"/>
              </w:rPr>
            </w:pPr>
            <w:r>
              <w:rPr>
                <w:b/>
                <w:bCs/>
                <w:sz w:val="20"/>
                <w:szCs w:val="20"/>
              </w:rPr>
              <w:t>555</w:t>
            </w:r>
          </w:p>
        </w:tc>
      </w:tr>
    </w:tbl>
    <w:p w:rsidR="00C56DB6" w:rsidRDefault="00C56DB6" w:rsidP="00C56DB6">
      <w:pPr>
        <w:pStyle w:val="NumbList"/>
        <w:numPr>
          <w:ilvl w:val="0"/>
          <w:numId w:val="0"/>
        </w:numPr>
        <w:spacing w:after="0" w:line="240" w:lineRule="auto"/>
        <w:ind w:left="624" w:hanging="340"/>
        <w:rPr>
          <w:sz w:val="24"/>
          <w:lang w:eastAsia="en-GB"/>
        </w:rPr>
      </w:pPr>
    </w:p>
    <w:p w:rsidR="00611BCA" w:rsidRPr="00A07E7B" w:rsidRDefault="00614220" w:rsidP="00A07E7B">
      <w:pPr>
        <w:spacing w:after="0" w:line="240" w:lineRule="auto"/>
        <w:rPr>
          <w:b/>
          <w:sz w:val="28"/>
        </w:rPr>
      </w:pPr>
      <w:r>
        <w:rPr>
          <w:sz w:val="28"/>
        </w:rPr>
        <w:br w:type="page"/>
      </w:r>
    </w:p>
    <w:p w:rsidR="00561A10" w:rsidRPr="00561A10" w:rsidRDefault="006B176E" w:rsidP="00561A10">
      <w:pPr>
        <w:pStyle w:val="Heading"/>
        <w:spacing w:after="260"/>
        <w:rPr>
          <w:sz w:val="28"/>
        </w:rPr>
      </w:pPr>
      <w:r w:rsidRPr="00394F45">
        <w:rPr>
          <w:sz w:val="28"/>
        </w:rPr>
        <w:t>Reasons for the Revenue Position</w:t>
      </w:r>
    </w:p>
    <w:p w:rsidR="00091237" w:rsidRDefault="00091237" w:rsidP="004C6692">
      <w:pPr>
        <w:spacing w:after="0"/>
        <w:ind w:left="567" w:hanging="567"/>
        <w:contextualSpacing/>
        <w:rPr>
          <w:b/>
          <w:sz w:val="24"/>
        </w:rPr>
      </w:pPr>
      <w:r w:rsidRPr="00385BD3">
        <w:rPr>
          <w:b/>
          <w:sz w:val="24"/>
        </w:rPr>
        <w:t>Staff</w:t>
      </w:r>
    </w:p>
    <w:p w:rsidR="005D1F66" w:rsidRDefault="00827164" w:rsidP="000E7E1E">
      <w:pPr>
        <w:pStyle w:val="NumbList"/>
        <w:numPr>
          <w:ilvl w:val="0"/>
          <w:numId w:val="160"/>
        </w:numPr>
        <w:spacing w:after="100" w:afterAutospacing="1"/>
        <w:ind w:left="567" w:hanging="567"/>
        <w:contextualSpacing/>
        <w:rPr>
          <w:sz w:val="24"/>
        </w:rPr>
      </w:pPr>
      <w:r w:rsidRPr="00DA2969">
        <w:rPr>
          <w:sz w:val="24"/>
        </w:rPr>
        <w:t>The budget for operational staff is forecast to underspend by £4,</w:t>
      </w:r>
      <w:r w:rsidR="000649E9" w:rsidRPr="00DA2969">
        <w:rPr>
          <w:sz w:val="24"/>
        </w:rPr>
        <w:t>16</w:t>
      </w:r>
      <w:r w:rsidR="00010987">
        <w:rPr>
          <w:sz w:val="24"/>
        </w:rPr>
        <w:t>1</w:t>
      </w:r>
      <w:r w:rsidRPr="00DA2969">
        <w:rPr>
          <w:sz w:val="24"/>
        </w:rPr>
        <w:t xml:space="preserve">k, a </w:t>
      </w:r>
      <w:r w:rsidR="000649E9" w:rsidRPr="00DA2969">
        <w:rPr>
          <w:sz w:val="24"/>
        </w:rPr>
        <w:t>de</w:t>
      </w:r>
      <w:r w:rsidRPr="00DA2969">
        <w:rPr>
          <w:sz w:val="24"/>
        </w:rPr>
        <w:t xml:space="preserve">crease in the </w:t>
      </w:r>
      <w:r w:rsidR="002226EF" w:rsidRPr="00DA2969">
        <w:rPr>
          <w:sz w:val="24"/>
        </w:rPr>
        <w:t>underspend</w:t>
      </w:r>
      <w:r w:rsidRPr="00DA2969">
        <w:rPr>
          <w:sz w:val="24"/>
        </w:rPr>
        <w:t xml:space="preserve"> of £</w:t>
      </w:r>
      <w:r w:rsidR="000649E9" w:rsidRPr="00DA2969">
        <w:rPr>
          <w:sz w:val="24"/>
        </w:rPr>
        <w:t>542</w:t>
      </w:r>
      <w:r w:rsidRPr="00DA2969">
        <w:rPr>
          <w:sz w:val="24"/>
        </w:rPr>
        <w:t>k from the position reported at Q</w:t>
      </w:r>
      <w:r w:rsidR="004D485A" w:rsidRPr="00DA2969">
        <w:rPr>
          <w:sz w:val="24"/>
        </w:rPr>
        <w:t xml:space="preserve">uarter </w:t>
      </w:r>
      <w:r w:rsidR="000649E9" w:rsidRPr="00DA2969">
        <w:rPr>
          <w:sz w:val="24"/>
        </w:rPr>
        <w:t>2</w:t>
      </w:r>
      <w:r w:rsidRPr="00DA2969">
        <w:rPr>
          <w:sz w:val="24"/>
        </w:rPr>
        <w:t>. Th</w:t>
      </w:r>
      <w:r w:rsidR="00F36537">
        <w:rPr>
          <w:sz w:val="24"/>
        </w:rPr>
        <w:t xml:space="preserve">is is </w:t>
      </w:r>
      <w:r w:rsidRPr="00DA2969">
        <w:rPr>
          <w:sz w:val="24"/>
        </w:rPr>
        <w:t xml:space="preserve">due to </w:t>
      </w:r>
      <w:r w:rsidR="00010987">
        <w:rPr>
          <w:sz w:val="24"/>
        </w:rPr>
        <w:t>an</w:t>
      </w:r>
      <w:r w:rsidR="0037108F" w:rsidRPr="00DA2969">
        <w:rPr>
          <w:sz w:val="24"/>
        </w:rPr>
        <w:t xml:space="preserve"> </w:t>
      </w:r>
      <w:r w:rsidR="000649E9" w:rsidRPr="00DA2969">
        <w:rPr>
          <w:sz w:val="24"/>
        </w:rPr>
        <w:t xml:space="preserve">increase in overtime </w:t>
      </w:r>
      <w:r w:rsidR="0037108F" w:rsidRPr="00DA2969">
        <w:rPr>
          <w:sz w:val="24"/>
        </w:rPr>
        <w:t xml:space="preserve">costs </w:t>
      </w:r>
      <w:r w:rsidR="000649E9" w:rsidRPr="00DA2969">
        <w:rPr>
          <w:sz w:val="24"/>
        </w:rPr>
        <w:t xml:space="preserve">due to the high number of vacancies. </w:t>
      </w:r>
      <w:r w:rsidR="00DA2969" w:rsidRPr="00DA2969">
        <w:rPr>
          <w:sz w:val="24"/>
        </w:rPr>
        <w:t>As previously reported, t</w:t>
      </w:r>
      <w:r w:rsidRPr="00DA2969">
        <w:rPr>
          <w:sz w:val="24"/>
        </w:rPr>
        <w:t>he</w:t>
      </w:r>
      <w:r w:rsidR="00DA2969" w:rsidRPr="00DA2969">
        <w:rPr>
          <w:sz w:val="24"/>
        </w:rPr>
        <w:t xml:space="preserve"> forecast underspend also includes </w:t>
      </w:r>
      <w:r w:rsidRPr="00DA2969">
        <w:rPr>
          <w:sz w:val="24"/>
        </w:rPr>
        <w:t xml:space="preserve">a pressure of £1,500k </w:t>
      </w:r>
      <w:r w:rsidR="00512456" w:rsidRPr="00DA2969">
        <w:rPr>
          <w:sz w:val="24"/>
        </w:rPr>
        <w:t xml:space="preserve">based on a pay award of 2% </w:t>
      </w:r>
      <w:r w:rsidR="00010987">
        <w:rPr>
          <w:sz w:val="24"/>
        </w:rPr>
        <w:t>for</w:t>
      </w:r>
      <w:r w:rsidR="00010987" w:rsidRPr="00DA2969">
        <w:rPr>
          <w:sz w:val="24"/>
        </w:rPr>
        <w:t xml:space="preserve"> </w:t>
      </w:r>
      <w:r w:rsidR="00894056" w:rsidRPr="00DA2969">
        <w:rPr>
          <w:sz w:val="24"/>
        </w:rPr>
        <w:t>operational staff</w:t>
      </w:r>
      <w:r w:rsidR="003D0832" w:rsidRPr="00DA2969">
        <w:rPr>
          <w:sz w:val="24"/>
        </w:rPr>
        <w:t>.</w:t>
      </w:r>
      <w:r w:rsidR="001239C5" w:rsidRPr="00DA2969">
        <w:rPr>
          <w:sz w:val="24"/>
        </w:rPr>
        <w:t xml:space="preserve"> </w:t>
      </w:r>
      <w:r w:rsidR="003D0832" w:rsidRPr="00DA2969">
        <w:rPr>
          <w:sz w:val="24"/>
        </w:rPr>
        <w:t xml:space="preserve">In </w:t>
      </w:r>
      <w:r w:rsidR="00DA2969" w:rsidRPr="00DA2969">
        <w:rPr>
          <w:sz w:val="24"/>
        </w:rPr>
        <w:t>December</w:t>
      </w:r>
      <w:r w:rsidR="00015A24">
        <w:rPr>
          <w:sz w:val="24"/>
        </w:rPr>
        <w:t>,</w:t>
      </w:r>
      <w:r w:rsidR="003D0832" w:rsidRPr="00DA2969">
        <w:rPr>
          <w:sz w:val="24"/>
        </w:rPr>
        <w:t xml:space="preserve"> the national Fire Brigades Union (FBU) ballot </w:t>
      </w:r>
      <w:r w:rsidR="00DA2969">
        <w:rPr>
          <w:sz w:val="24"/>
        </w:rPr>
        <w:t xml:space="preserve">agreed to uplift salaries </w:t>
      </w:r>
      <w:r w:rsidR="002047DA">
        <w:rPr>
          <w:sz w:val="24"/>
        </w:rPr>
        <w:t>by 1% backdated to July 2017. The forecast 2% increase is still considered prudent whilst discussions around pay and the broadening of the role continue</w:t>
      </w:r>
      <w:r w:rsidR="0080158C">
        <w:rPr>
          <w:sz w:val="24"/>
        </w:rPr>
        <w:t>s</w:t>
      </w:r>
      <w:r w:rsidR="002047DA">
        <w:rPr>
          <w:sz w:val="24"/>
        </w:rPr>
        <w:t>. The remainder of the underspend is due to the number of vacancies.</w:t>
      </w:r>
    </w:p>
    <w:p w:rsidR="00431713" w:rsidRPr="00DA2969" w:rsidRDefault="00431713" w:rsidP="00431713">
      <w:pPr>
        <w:pStyle w:val="NumbList"/>
        <w:numPr>
          <w:ilvl w:val="0"/>
          <w:numId w:val="0"/>
        </w:numPr>
        <w:ind w:left="567"/>
        <w:contextualSpacing/>
        <w:rPr>
          <w:sz w:val="24"/>
        </w:rPr>
      </w:pPr>
    </w:p>
    <w:p w:rsidR="002047DA" w:rsidRDefault="002047DA" w:rsidP="000E7E1E">
      <w:pPr>
        <w:pStyle w:val="NumbList"/>
        <w:numPr>
          <w:ilvl w:val="0"/>
          <w:numId w:val="160"/>
        </w:numPr>
        <w:ind w:left="567" w:hanging="567"/>
        <w:rPr>
          <w:sz w:val="24"/>
        </w:rPr>
      </w:pPr>
      <w:r>
        <w:rPr>
          <w:sz w:val="24"/>
        </w:rPr>
        <w:t>FRS staff budgets are now forecast to underspend by £</w:t>
      </w:r>
      <w:r w:rsidR="000E7E1E">
        <w:rPr>
          <w:sz w:val="24"/>
        </w:rPr>
        <w:t>510</w:t>
      </w:r>
      <w:r w:rsidR="001068C1">
        <w:rPr>
          <w:sz w:val="24"/>
        </w:rPr>
        <w:t>k</w:t>
      </w:r>
      <w:r w:rsidR="00B676A4">
        <w:rPr>
          <w:sz w:val="24"/>
        </w:rPr>
        <w:t>, 1.</w:t>
      </w:r>
      <w:r w:rsidR="000E7E1E">
        <w:rPr>
          <w:sz w:val="24"/>
        </w:rPr>
        <w:t>1</w:t>
      </w:r>
      <w:r w:rsidR="00B676A4">
        <w:rPr>
          <w:sz w:val="24"/>
        </w:rPr>
        <w:t>% of the total FRS staff budget</w:t>
      </w:r>
      <w:r w:rsidR="00F07965">
        <w:rPr>
          <w:sz w:val="24"/>
        </w:rPr>
        <w:t xml:space="preserve">. At the end of December, there are </w:t>
      </w:r>
      <w:r w:rsidR="00651DE1" w:rsidRPr="006B1F91">
        <w:rPr>
          <w:sz w:val="24"/>
        </w:rPr>
        <w:t xml:space="preserve">127 </w:t>
      </w:r>
      <w:r w:rsidR="00F07965" w:rsidRPr="006B1F91">
        <w:rPr>
          <w:sz w:val="24"/>
        </w:rPr>
        <w:t xml:space="preserve">vacancies and </w:t>
      </w:r>
      <w:r w:rsidR="00CF7207" w:rsidRPr="00614220">
        <w:rPr>
          <w:sz w:val="24"/>
        </w:rPr>
        <w:t>77</w:t>
      </w:r>
      <w:r w:rsidR="00F07965" w:rsidRPr="00614220">
        <w:rPr>
          <w:sz w:val="24"/>
        </w:rPr>
        <w:t xml:space="preserve"> agency staff</w:t>
      </w:r>
      <w:r w:rsidR="00F07965">
        <w:rPr>
          <w:sz w:val="24"/>
        </w:rPr>
        <w:t xml:space="preserve">. </w:t>
      </w:r>
      <w:r w:rsidR="00E5793F">
        <w:rPr>
          <w:sz w:val="24"/>
        </w:rPr>
        <w:t>The forecast underspend is now being reported</w:t>
      </w:r>
      <w:r w:rsidR="008725D4">
        <w:rPr>
          <w:sz w:val="24"/>
        </w:rPr>
        <w:t xml:space="preserve"> because r</w:t>
      </w:r>
      <w:r w:rsidR="008725D4" w:rsidRPr="008725D4">
        <w:rPr>
          <w:sz w:val="24"/>
        </w:rPr>
        <w:t xml:space="preserve">ecruitment to </w:t>
      </w:r>
      <w:r w:rsidR="00906437">
        <w:rPr>
          <w:sz w:val="24"/>
        </w:rPr>
        <w:t xml:space="preserve">a number of </w:t>
      </w:r>
      <w:r w:rsidR="008725D4">
        <w:rPr>
          <w:sz w:val="24"/>
        </w:rPr>
        <w:t>key roles ha</w:t>
      </w:r>
      <w:r w:rsidR="00803780">
        <w:rPr>
          <w:sz w:val="24"/>
        </w:rPr>
        <w:t>s</w:t>
      </w:r>
      <w:r w:rsidR="008725D4">
        <w:rPr>
          <w:sz w:val="24"/>
        </w:rPr>
        <w:t xml:space="preserve"> </w:t>
      </w:r>
      <w:r w:rsidR="00F36537">
        <w:rPr>
          <w:sz w:val="24"/>
        </w:rPr>
        <w:t>taken longer than anticipated.</w:t>
      </w:r>
      <w:r w:rsidR="00790EDE">
        <w:rPr>
          <w:sz w:val="24"/>
        </w:rPr>
        <w:t xml:space="preserve"> </w:t>
      </w:r>
      <w:r w:rsidR="009E629A">
        <w:rPr>
          <w:sz w:val="24"/>
        </w:rPr>
        <w:t>The forecast also includes the one-off impact (£310k) of the proposed pay award as set out in the section below</w:t>
      </w:r>
      <w:r w:rsidR="006B2699">
        <w:rPr>
          <w:sz w:val="24"/>
        </w:rPr>
        <w:t>.</w:t>
      </w:r>
    </w:p>
    <w:p w:rsidR="00C8559E" w:rsidRDefault="002047DA" w:rsidP="000E7E1E">
      <w:pPr>
        <w:pStyle w:val="NumbList"/>
        <w:numPr>
          <w:ilvl w:val="0"/>
          <w:numId w:val="160"/>
        </w:numPr>
        <w:ind w:left="567" w:hanging="567"/>
        <w:rPr>
          <w:sz w:val="24"/>
        </w:rPr>
      </w:pPr>
      <w:r w:rsidRPr="002047DA">
        <w:rPr>
          <w:sz w:val="24"/>
        </w:rPr>
        <w:t>As previously reported, c</w:t>
      </w:r>
      <w:r w:rsidR="00AB0540" w:rsidRPr="002047DA">
        <w:rPr>
          <w:sz w:val="24"/>
        </w:rPr>
        <w:t>ontrol staff budgets are forecast to overspend by £</w:t>
      </w:r>
      <w:r w:rsidR="00C041A7" w:rsidRPr="002047DA">
        <w:rPr>
          <w:sz w:val="24"/>
        </w:rPr>
        <w:t>15</w:t>
      </w:r>
      <w:r w:rsidR="00512456" w:rsidRPr="002047DA">
        <w:rPr>
          <w:sz w:val="24"/>
        </w:rPr>
        <w:t>0</w:t>
      </w:r>
      <w:r w:rsidR="00AB0540" w:rsidRPr="002047DA">
        <w:rPr>
          <w:sz w:val="24"/>
        </w:rPr>
        <w:t>k.</w:t>
      </w:r>
      <w:r w:rsidRPr="002047DA">
        <w:rPr>
          <w:sz w:val="24"/>
        </w:rPr>
        <w:t xml:space="preserve"> </w:t>
      </w:r>
      <w:r w:rsidR="00AA1C77">
        <w:rPr>
          <w:sz w:val="24"/>
        </w:rPr>
        <w:t>O</w:t>
      </w:r>
      <w:r w:rsidR="00AB0540" w:rsidRPr="002047DA">
        <w:rPr>
          <w:sz w:val="24"/>
        </w:rPr>
        <w:t xml:space="preserve">vertime levels </w:t>
      </w:r>
      <w:r w:rsidR="00AA1C77">
        <w:rPr>
          <w:sz w:val="24"/>
        </w:rPr>
        <w:t>ha</w:t>
      </w:r>
      <w:r w:rsidR="00F36537">
        <w:rPr>
          <w:sz w:val="24"/>
        </w:rPr>
        <w:t>ve</w:t>
      </w:r>
      <w:r w:rsidR="00AA1C77">
        <w:rPr>
          <w:sz w:val="24"/>
        </w:rPr>
        <w:t xml:space="preserve"> </w:t>
      </w:r>
      <w:r w:rsidR="00AB0540" w:rsidRPr="002047DA">
        <w:rPr>
          <w:sz w:val="24"/>
        </w:rPr>
        <w:t>remain</w:t>
      </w:r>
      <w:r w:rsidR="00AA1C77">
        <w:rPr>
          <w:sz w:val="24"/>
        </w:rPr>
        <w:t>ed</w:t>
      </w:r>
      <w:r w:rsidR="00AB0540" w:rsidRPr="002047DA">
        <w:rPr>
          <w:sz w:val="24"/>
        </w:rPr>
        <w:t xml:space="preserve"> high</w:t>
      </w:r>
      <w:r w:rsidR="00AA1C77">
        <w:rPr>
          <w:sz w:val="24"/>
        </w:rPr>
        <w:t xml:space="preserve"> but</w:t>
      </w:r>
      <w:r w:rsidR="00AB0540" w:rsidRPr="002047DA">
        <w:rPr>
          <w:sz w:val="24"/>
        </w:rPr>
        <w:t xml:space="preserve"> </w:t>
      </w:r>
      <w:r w:rsidRPr="002047DA">
        <w:rPr>
          <w:sz w:val="24"/>
        </w:rPr>
        <w:t xml:space="preserve">they are </w:t>
      </w:r>
      <w:r w:rsidR="00AA1C77">
        <w:rPr>
          <w:sz w:val="24"/>
        </w:rPr>
        <w:t xml:space="preserve">now </w:t>
      </w:r>
      <w:r w:rsidRPr="002047DA">
        <w:rPr>
          <w:sz w:val="24"/>
        </w:rPr>
        <w:t xml:space="preserve">reducing following the appointment of additional staff. Once </w:t>
      </w:r>
      <w:r w:rsidR="007373FE">
        <w:rPr>
          <w:sz w:val="24"/>
        </w:rPr>
        <w:t>the new</w:t>
      </w:r>
      <w:r w:rsidR="007373FE" w:rsidRPr="002047DA">
        <w:rPr>
          <w:sz w:val="24"/>
        </w:rPr>
        <w:t xml:space="preserve"> </w:t>
      </w:r>
      <w:r w:rsidRPr="002047DA">
        <w:rPr>
          <w:sz w:val="24"/>
        </w:rPr>
        <w:t>staff are fully trained it is expected that overtime costs will continue to reduce</w:t>
      </w:r>
      <w:r w:rsidR="00F74228" w:rsidRPr="002047DA">
        <w:rPr>
          <w:sz w:val="24"/>
        </w:rPr>
        <w:t>.</w:t>
      </w:r>
    </w:p>
    <w:p w:rsidR="009F57CE" w:rsidRPr="000E7E1E" w:rsidRDefault="009F57CE" w:rsidP="000E7E1E">
      <w:pPr>
        <w:pStyle w:val="NumbList"/>
        <w:numPr>
          <w:ilvl w:val="0"/>
          <w:numId w:val="0"/>
        </w:numPr>
        <w:spacing w:after="0" w:line="240" w:lineRule="auto"/>
        <w:rPr>
          <w:b/>
          <w:sz w:val="24"/>
        </w:rPr>
      </w:pPr>
      <w:r>
        <w:rPr>
          <w:b/>
          <w:sz w:val="24"/>
        </w:rPr>
        <w:t>2017/18</w:t>
      </w:r>
      <w:r w:rsidRPr="000E7E1E">
        <w:rPr>
          <w:b/>
          <w:sz w:val="24"/>
        </w:rPr>
        <w:t xml:space="preserve"> FRS Pay Settlement</w:t>
      </w:r>
    </w:p>
    <w:p w:rsidR="007642C0" w:rsidRPr="00BB1ABB" w:rsidRDefault="009F57CE" w:rsidP="000E7E1E">
      <w:pPr>
        <w:pStyle w:val="NumbList"/>
        <w:numPr>
          <w:ilvl w:val="0"/>
          <w:numId w:val="160"/>
        </w:numPr>
        <w:ind w:left="567" w:hanging="567"/>
        <w:rPr>
          <w:sz w:val="24"/>
        </w:rPr>
      </w:pPr>
      <w:r w:rsidRPr="00BB1ABB">
        <w:rPr>
          <w:sz w:val="24"/>
        </w:rPr>
        <w:t>Following several months of negotiations between the FRS trade unions and officers, the trade unions have advised they will agree a pay settlement of 1%</w:t>
      </w:r>
      <w:r w:rsidR="00F674B5" w:rsidRPr="00BB1ABB">
        <w:rPr>
          <w:sz w:val="24"/>
        </w:rPr>
        <w:t xml:space="preserve"> (backdated to 1 April 2017)</w:t>
      </w:r>
      <w:r w:rsidRPr="00BB1ABB">
        <w:rPr>
          <w:sz w:val="24"/>
        </w:rPr>
        <w:t xml:space="preserve">, </w:t>
      </w:r>
      <w:r w:rsidR="00F674B5" w:rsidRPr="00BB1ABB">
        <w:rPr>
          <w:sz w:val="24"/>
        </w:rPr>
        <w:t>plus a non-consolidated one-off payment of £300 for all eligible FRS staff</w:t>
      </w:r>
      <w:r w:rsidRPr="00BB1ABB">
        <w:rPr>
          <w:sz w:val="24"/>
        </w:rPr>
        <w:t>, and for the Salary Progression Increase (SPI) to be 2.5% (backdated to 1 July 201</w:t>
      </w:r>
      <w:r w:rsidR="00F674B5" w:rsidRPr="00BB1ABB">
        <w:rPr>
          <w:sz w:val="24"/>
        </w:rPr>
        <w:t>7</w:t>
      </w:r>
      <w:r w:rsidRPr="00BB1ABB">
        <w:rPr>
          <w:sz w:val="24"/>
        </w:rPr>
        <w:t xml:space="preserve">). </w:t>
      </w:r>
    </w:p>
    <w:p w:rsidR="007642C0" w:rsidRDefault="004F6C9E" w:rsidP="000E7E1E">
      <w:pPr>
        <w:pStyle w:val="NumbList"/>
        <w:numPr>
          <w:ilvl w:val="0"/>
          <w:numId w:val="160"/>
        </w:numPr>
        <w:ind w:left="567" w:hanging="567"/>
        <w:rPr>
          <w:sz w:val="24"/>
        </w:rPr>
      </w:pPr>
      <w:r w:rsidRPr="004F6C9E">
        <w:rPr>
          <w:sz w:val="24"/>
        </w:rPr>
        <w:t>This improved pay offer followed the trade union’s</w:t>
      </w:r>
      <w:r w:rsidRPr="007642C0">
        <w:rPr>
          <w:sz w:val="24"/>
        </w:rPr>
        <w:t xml:space="preserve"> rejection of the initial offer of a 1% pay rise, and 2.5% for the SPI, which was in line with the original budgetary provision. The pay settlement was then discussed at a meeting of the LFEPA Joint Council on 12 January 2018, at which an additional one-off payment of £300 was offered for FRSB and </w:t>
      </w:r>
      <w:r w:rsidRPr="00AB4F82">
        <w:rPr>
          <w:sz w:val="24"/>
        </w:rPr>
        <w:t>FRSC staff. This was also subsequently rejected by the trade unions, leading to the improved offer under which all FRS staff would receive the non-consolidated one-off payment of £300 (pro-rata-ed by hours and time served during the year) in addition to the 1% pay increase and 2.5% for the SPI, and this has now been agreed by the trade unions.</w:t>
      </w:r>
      <w:r w:rsidR="009F57CE" w:rsidRPr="004F6C9E">
        <w:rPr>
          <w:sz w:val="24"/>
        </w:rPr>
        <w:t xml:space="preserve"> </w:t>
      </w:r>
    </w:p>
    <w:p w:rsidR="009F57CE" w:rsidRPr="00A44E77" w:rsidRDefault="009F57CE" w:rsidP="000E7E1E">
      <w:pPr>
        <w:pStyle w:val="NumbList"/>
        <w:numPr>
          <w:ilvl w:val="0"/>
          <w:numId w:val="160"/>
        </w:numPr>
        <w:ind w:left="567" w:hanging="567"/>
        <w:rPr>
          <w:sz w:val="24"/>
        </w:rPr>
      </w:pPr>
      <w:r w:rsidRPr="007642C0">
        <w:rPr>
          <w:sz w:val="24"/>
        </w:rPr>
        <w:t xml:space="preserve">This settlement has been costed as adding a </w:t>
      </w:r>
      <w:r w:rsidR="00F674B5" w:rsidRPr="007642C0">
        <w:rPr>
          <w:sz w:val="24"/>
        </w:rPr>
        <w:t>one</w:t>
      </w:r>
      <w:r w:rsidR="008A36D9" w:rsidRPr="007642C0">
        <w:rPr>
          <w:sz w:val="24"/>
        </w:rPr>
        <w:t>-</w:t>
      </w:r>
      <w:r w:rsidR="00F674B5" w:rsidRPr="007642C0">
        <w:rPr>
          <w:sz w:val="24"/>
        </w:rPr>
        <w:t>off</w:t>
      </w:r>
      <w:r w:rsidRPr="007E5D4C">
        <w:rPr>
          <w:sz w:val="24"/>
        </w:rPr>
        <w:t xml:space="preserve"> budgetary pressure of £</w:t>
      </w:r>
      <w:r w:rsidR="00F674B5" w:rsidRPr="007E5D4C">
        <w:rPr>
          <w:sz w:val="24"/>
        </w:rPr>
        <w:t>310</w:t>
      </w:r>
      <w:r w:rsidRPr="007E5D4C">
        <w:rPr>
          <w:sz w:val="24"/>
        </w:rPr>
        <w:t xml:space="preserve">k </w:t>
      </w:r>
      <w:r w:rsidR="00F674B5" w:rsidRPr="00AB4F82">
        <w:rPr>
          <w:sz w:val="24"/>
        </w:rPr>
        <w:t>in 2017/18, which</w:t>
      </w:r>
      <w:r w:rsidRPr="00AB4F82">
        <w:rPr>
          <w:sz w:val="24"/>
        </w:rPr>
        <w:t xml:space="preserve"> can be </w:t>
      </w:r>
      <w:r w:rsidR="00F674B5" w:rsidRPr="004F6C9E">
        <w:rPr>
          <w:sz w:val="24"/>
        </w:rPr>
        <w:t xml:space="preserve">contained within the forecast underspend </w:t>
      </w:r>
      <w:r w:rsidR="007642C0">
        <w:rPr>
          <w:sz w:val="24"/>
        </w:rPr>
        <w:t>for</w:t>
      </w:r>
      <w:r w:rsidR="00F674B5" w:rsidRPr="007642C0">
        <w:rPr>
          <w:sz w:val="24"/>
        </w:rPr>
        <w:t xml:space="preserve"> FRS staff this year.</w:t>
      </w:r>
      <w:r w:rsidRPr="007642C0">
        <w:rPr>
          <w:sz w:val="24"/>
        </w:rPr>
        <w:t xml:space="preserve"> Given </w:t>
      </w:r>
      <w:r w:rsidR="00F674B5" w:rsidRPr="007E5D4C">
        <w:rPr>
          <w:sz w:val="24"/>
        </w:rPr>
        <w:t>that this will not have an ongoing budgetary impact</w:t>
      </w:r>
      <w:r w:rsidRPr="007E5D4C">
        <w:rPr>
          <w:sz w:val="24"/>
        </w:rPr>
        <w:t>, it is recommended that the Committee agree this pay settlement.</w:t>
      </w:r>
    </w:p>
    <w:p w:rsidR="00540230" w:rsidRPr="00C03B70" w:rsidRDefault="00540230" w:rsidP="004C6692">
      <w:pPr>
        <w:pStyle w:val="NumbList"/>
        <w:numPr>
          <w:ilvl w:val="0"/>
          <w:numId w:val="0"/>
        </w:numPr>
        <w:spacing w:after="0" w:line="240" w:lineRule="auto"/>
      </w:pPr>
      <w:r w:rsidRPr="0093321D">
        <w:rPr>
          <w:b/>
          <w:sz w:val="24"/>
        </w:rPr>
        <w:t>Employee Related</w:t>
      </w:r>
    </w:p>
    <w:p w:rsidR="00CB0D98" w:rsidRDefault="00B676A4" w:rsidP="000E7E1E">
      <w:pPr>
        <w:pStyle w:val="NumbList"/>
        <w:numPr>
          <w:ilvl w:val="0"/>
          <w:numId w:val="160"/>
        </w:numPr>
        <w:spacing w:after="0"/>
        <w:ind w:left="567" w:hanging="567"/>
        <w:rPr>
          <w:sz w:val="24"/>
        </w:rPr>
      </w:pPr>
      <w:r w:rsidRPr="008821FA">
        <w:rPr>
          <w:sz w:val="24"/>
        </w:rPr>
        <w:t xml:space="preserve">Employee related budgets are forecast to underspend by £506k. This has reduced by £321k from the position reported at Quarter 2 largely due to </w:t>
      </w:r>
      <w:r w:rsidR="008821FA">
        <w:rPr>
          <w:sz w:val="24"/>
        </w:rPr>
        <w:t xml:space="preserve">the inclusion of </w:t>
      </w:r>
      <w:r w:rsidRPr="008821FA">
        <w:rPr>
          <w:sz w:val="24"/>
        </w:rPr>
        <w:t xml:space="preserve">a forecast overspend of £231k on compensation </w:t>
      </w:r>
      <w:r w:rsidR="008821FA">
        <w:rPr>
          <w:sz w:val="24"/>
        </w:rPr>
        <w:t xml:space="preserve">budgets </w:t>
      </w:r>
      <w:r w:rsidRPr="008821FA">
        <w:rPr>
          <w:sz w:val="24"/>
        </w:rPr>
        <w:t xml:space="preserve">due to a number of large </w:t>
      </w:r>
      <w:r w:rsidR="008821FA">
        <w:rPr>
          <w:sz w:val="24"/>
        </w:rPr>
        <w:t xml:space="preserve">value </w:t>
      </w:r>
      <w:r w:rsidRPr="008821FA">
        <w:rPr>
          <w:sz w:val="24"/>
        </w:rPr>
        <w:t xml:space="preserve">personal injury cases. </w:t>
      </w:r>
      <w:r w:rsidR="008821FA" w:rsidRPr="008821FA">
        <w:rPr>
          <w:sz w:val="24"/>
        </w:rPr>
        <w:t>As previously reported, the forecast includes an overspend on</w:t>
      </w:r>
      <w:r w:rsidR="007373FE">
        <w:rPr>
          <w:sz w:val="24"/>
        </w:rPr>
        <w:t xml:space="preserve"> the</w:t>
      </w:r>
      <w:r w:rsidR="008821FA" w:rsidRPr="008821FA">
        <w:rPr>
          <w:sz w:val="24"/>
        </w:rPr>
        <w:t xml:space="preserve"> training contract (£150k) based on the current level of spend and expected number of training courses that will be run in 2017/18, offset by a forecast underspend on the apprenticeship levy (£50k). </w:t>
      </w:r>
      <w:r w:rsidRPr="008821FA">
        <w:rPr>
          <w:sz w:val="24"/>
        </w:rPr>
        <w:t xml:space="preserve">The remainder of the underspend is </w:t>
      </w:r>
      <w:r w:rsidR="008821FA" w:rsidRPr="008821FA">
        <w:rPr>
          <w:sz w:val="24"/>
        </w:rPr>
        <w:t xml:space="preserve">due to </w:t>
      </w:r>
      <w:r w:rsidR="00AB0540" w:rsidRPr="008821FA">
        <w:rPr>
          <w:sz w:val="24"/>
        </w:rPr>
        <w:t>a forecast underspend on</w:t>
      </w:r>
      <w:r w:rsidR="00D46822" w:rsidRPr="008821FA">
        <w:rPr>
          <w:sz w:val="24"/>
        </w:rPr>
        <w:t xml:space="preserve"> the</w:t>
      </w:r>
      <w:r w:rsidR="00AB0540" w:rsidRPr="008821FA">
        <w:rPr>
          <w:sz w:val="24"/>
        </w:rPr>
        <w:t xml:space="preserve"> </w:t>
      </w:r>
      <w:r w:rsidR="003E087F" w:rsidRPr="008821FA">
        <w:rPr>
          <w:sz w:val="24"/>
        </w:rPr>
        <w:t>inoculations</w:t>
      </w:r>
      <w:r w:rsidR="00AD0FA0" w:rsidRPr="008821FA">
        <w:rPr>
          <w:sz w:val="24"/>
        </w:rPr>
        <w:t xml:space="preserve"> budget within </w:t>
      </w:r>
      <w:r w:rsidR="00D46822" w:rsidRPr="008821FA">
        <w:rPr>
          <w:sz w:val="24"/>
        </w:rPr>
        <w:t xml:space="preserve">the </w:t>
      </w:r>
      <w:r w:rsidR="00AB0540" w:rsidRPr="008821FA">
        <w:rPr>
          <w:sz w:val="24"/>
        </w:rPr>
        <w:t xml:space="preserve">medical and welfare </w:t>
      </w:r>
      <w:r w:rsidR="004E273D" w:rsidRPr="008821FA">
        <w:rPr>
          <w:sz w:val="24"/>
        </w:rPr>
        <w:t xml:space="preserve">expenses </w:t>
      </w:r>
      <w:r w:rsidR="00AB0540" w:rsidRPr="008821FA">
        <w:rPr>
          <w:sz w:val="24"/>
        </w:rPr>
        <w:t>budget</w:t>
      </w:r>
      <w:r w:rsidR="00261DF9" w:rsidRPr="008821FA">
        <w:rPr>
          <w:sz w:val="24"/>
        </w:rPr>
        <w:t xml:space="preserve"> </w:t>
      </w:r>
      <w:r w:rsidR="00310E8E" w:rsidRPr="00AA1C77">
        <w:rPr>
          <w:sz w:val="24"/>
        </w:rPr>
        <w:t>now</w:t>
      </w:r>
      <w:r w:rsidR="00310E8E">
        <w:t xml:space="preserve"> </w:t>
      </w:r>
      <w:r w:rsidR="00310E8E" w:rsidRPr="00310E8E">
        <w:rPr>
          <w:sz w:val="24"/>
        </w:rPr>
        <w:t xml:space="preserve">transferred to an EMR reserve to cover the planned spend in </w:t>
      </w:r>
      <w:r w:rsidR="007373FE">
        <w:rPr>
          <w:sz w:val="24"/>
        </w:rPr>
        <w:t>future years</w:t>
      </w:r>
      <w:r w:rsidR="00310E8E" w:rsidRPr="00310E8E">
        <w:rPr>
          <w:sz w:val="24"/>
        </w:rPr>
        <w:t>.</w:t>
      </w:r>
    </w:p>
    <w:p w:rsidR="00CA4FB8" w:rsidRDefault="00CA4FB8" w:rsidP="00CA4FB8">
      <w:pPr>
        <w:pStyle w:val="NumbList"/>
        <w:numPr>
          <w:ilvl w:val="0"/>
          <w:numId w:val="0"/>
        </w:numPr>
        <w:spacing w:after="0"/>
        <w:ind w:left="624" w:hanging="340"/>
        <w:rPr>
          <w:sz w:val="24"/>
        </w:rPr>
      </w:pPr>
    </w:p>
    <w:p w:rsidR="00CA4FB8" w:rsidRDefault="00CA4FB8" w:rsidP="00CA4FB8">
      <w:pPr>
        <w:pStyle w:val="NumbList"/>
        <w:numPr>
          <w:ilvl w:val="0"/>
          <w:numId w:val="0"/>
        </w:numPr>
        <w:spacing w:after="0"/>
        <w:ind w:left="624" w:hanging="340"/>
        <w:rPr>
          <w:sz w:val="24"/>
        </w:rPr>
      </w:pPr>
    </w:p>
    <w:p w:rsidR="000B2D94" w:rsidRPr="008821FA" w:rsidRDefault="000B2D94" w:rsidP="00CB0D98">
      <w:pPr>
        <w:pStyle w:val="NumbList"/>
        <w:numPr>
          <w:ilvl w:val="0"/>
          <w:numId w:val="0"/>
        </w:numPr>
        <w:spacing w:after="0"/>
        <w:ind w:left="567"/>
        <w:rPr>
          <w:sz w:val="24"/>
        </w:rPr>
      </w:pPr>
    </w:p>
    <w:p w:rsidR="00B676A4" w:rsidRPr="00C03B70" w:rsidRDefault="00B676A4" w:rsidP="004C6692">
      <w:pPr>
        <w:pStyle w:val="NumbList"/>
        <w:numPr>
          <w:ilvl w:val="0"/>
          <w:numId w:val="0"/>
        </w:numPr>
        <w:spacing w:after="0"/>
        <w:ind w:left="567" w:hanging="567"/>
      </w:pPr>
      <w:r>
        <w:rPr>
          <w:b/>
          <w:sz w:val="24"/>
        </w:rPr>
        <w:t>Firefighter Injury and Ill Health Pensions</w:t>
      </w:r>
    </w:p>
    <w:p w:rsidR="00B676A4" w:rsidRPr="001A3684" w:rsidRDefault="008821FA" w:rsidP="000E7E1E">
      <w:pPr>
        <w:pStyle w:val="NumbList"/>
        <w:numPr>
          <w:ilvl w:val="0"/>
          <w:numId w:val="160"/>
        </w:numPr>
        <w:ind w:left="567" w:hanging="567"/>
        <w:rPr>
          <w:sz w:val="24"/>
        </w:rPr>
      </w:pPr>
      <w:r w:rsidRPr="001A3684">
        <w:rPr>
          <w:sz w:val="24"/>
        </w:rPr>
        <w:t>Firefighter pensions budgets are forecast to overspend by £84k in 2017/18</w:t>
      </w:r>
      <w:r w:rsidR="001A3684" w:rsidRPr="001A3684">
        <w:rPr>
          <w:sz w:val="24"/>
        </w:rPr>
        <w:t xml:space="preserve">, an increase in forecast spend of £294k from the underspend position reported at </w:t>
      </w:r>
      <w:r w:rsidR="00B676A4" w:rsidRPr="001A3684">
        <w:rPr>
          <w:sz w:val="24"/>
        </w:rPr>
        <w:t xml:space="preserve">Quarter </w:t>
      </w:r>
      <w:r w:rsidR="001A3684" w:rsidRPr="001A3684">
        <w:rPr>
          <w:sz w:val="24"/>
        </w:rPr>
        <w:t>2</w:t>
      </w:r>
      <w:r w:rsidR="00B676A4" w:rsidRPr="001A3684">
        <w:rPr>
          <w:sz w:val="24"/>
        </w:rPr>
        <w:t xml:space="preserve">. </w:t>
      </w:r>
      <w:r w:rsidR="001A3684">
        <w:rPr>
          <w:sz w:val="24"/>
        </w:rPr>
        <w:t>This increase is due to a higher number of ill health retirements than budgeted</w:t>
      </w:r>
      <w:r w:rsidR="00CF7207">
        <w:rPr>
          <w:sz w:val="24"/>
        </w:rPr>
        <w:t xml:space="preserve"> and </w:t>
      </w:r>
      <w:r w:rsidR="001A3684">
        <w:rPr>
          <w:sz w:val="24"/>
        </w:rPr>
        <w:t xml:space="preserve">lower levels of leavers from the injury pension scheme than expected at Quarter 2. </w:t>
      </w:r>
    </w:p>
    <w:p w:rsidR="00B34C41" w:rsidRDefault="00B34C41" w:rsidP="004C6692">
      <w:pPr>
        <w:pStyle w:val="NumbList"/>
        <w:numPr>
          <w:ilvl w:val="0"/>
          <w:numId w:val="0"/>
        </w:numPr>
        <w:spacing w:after="0"/>
        <w:ind w:left="567" w:hanging="567"/>
      </w:pPr>
      <w:r>
        <w:rPr>
          <w:b/>
          <w:sz w:val="24"/>
        </w:rPr>
        <w:t>Premises</w:t>
      </w:r>
    </w:p>
    <w:p w:rsidR="0091257B" w:rsidRDefault="00B34C41" w:rsidP="000E7E1E">
      <w:pPr>
        <w:pStyle w:val="ListParagraph"/>
        <w:numPr>
          <w:ilvl w:val="0"/>
          <w:numId w:val="160"/>
        </w:numPr>
        <w:ind w:left="567" w:hanging="567"/>
        <w:contextualSpacing w:val="0"/>
        <w:rPr>
          <w:sz w:val="24"/>
        </w:rPr>
      </w:pPr>
      <w:r w:rsidRPr="00995767">
        <w:rPr>
          <w:sz w:val="24"/>
        </w:rPr>
        <w:t>Premises budgets are forecast to overspend by £</w:t>
      </w:r>
      <w:r w:rsidR="00CD024D" w:rsidRPr="00995767">
        <w:rPr>
          <w:sz w:val="24"/>
        </w:rPr>
        <w:t>325</w:t>
      </w:r>
      <w:r w:rsidRPr="00995767">
        <w:rPr>
          <w:sz w:val="24"/>
        </w:rPr>
        <w:t>k</w:t>
      </w:r>
      <w:r w:rsidR="004E273D" w:rsidRPr="00995767">
        <w:rPr>
          <w:sz w:val="24"/>
        </w:rPr>
        <w:t xml:space="preserve">, a </w:t>
      </w:r>
      <w:r w:rsidR="00CD024D" w:rsidRPr="00995767">
        <w:rPr>
          <w:sz w:val="24"/>
        </w:rPr>
        <w:t>dec</w:t>
      </w:r>
      <w:r w:rsidR="004E273D" w:rsidRPr="00995767">
        <w:rPr>
          <w:sz w:val="24"/>
        </w:rPr>
        <w:t>rease of £</w:t>
      </w:r>
      <w:r w:rsidR="00CD024D" w:rsidRPr="00995767">
        <w:rPr>
          <w:sz w:val="24"/>
        </w:rPr>
        <w:t>523</w:t>
      </w:r>
      <w:r w:rsidR="004E273D" w:rsidRPr="00995767">
        <w:rPr>
          <w:sz w:val="24"/>
        </w:rPr>
        <w:t>k from the previously reported overspend.</w:t>
      </w:r>
      <w:r w:rsidRPr="00995767">
        <w:rPr>
          <w:sz w:val="24"/>
        </w:rPr>
        <w:t xml:space="preserve"> </w:t>
      </w:r>
      <w:r w:rsidR="00CD024D" w:rsidRPr="00995767">
        <w:rPr>
          <w:sz w:val="24"/>
        </w:rPr>
        <w:t>The decrease in spend from the previous forecast includes a reduction on property rates of £2,017k. A saving had been included in the 2018/19 Budget based on an appeal lodged by the Estates Management consultant for the 2010 valuations of £500k. This additional underspend is due to this saving being achieved earlier than expected</w:t>
      </w:r>
      <w:r w:rsidR="00F36537">
        <w:rPr>
          <w:sz w:val="24"/>
        </w:rPr>
        <w:t>, and with a much higher value</w:t>
      </w:r>
      <w:r w:rsidR="00CD024D" w:rsidRPr="00995767">
        <w:rPr>
          <w:sz w:val="24"/>
        </w:rPr>
        <w:t xml:space="preserve">. This is offset by an increase in the forecast spend on building maintenance budgets of £1,075k following the </w:t>
      </w:r>
      <w:r w:rsidR="001C3837" w:rsidRPr="00995767">
        <w:rPr>
          <w:sz w:val="24"/>
        </w:rPr>
        <w:t xml:space="preserve">decision to </w:t>
      </w:r>
      <w:r w:rsidR="00AC43C9" w:rsidRPr="00995767">
        <w:rPr>
          <w:sz w:val="24"/>
        </w:rPr>
        <w:t>progress</w:t>
      </w:r>
      <w:r w:rsidR="00555EF0" w:rsidRPr="00995767">
        <w:rPr>
          <w:sz w:val="24"/>
        </w:rPr>
        <w:t xml:space="preserve"> </w:t>
      </w:r>
      <w:r w:rsidR="00AC43C9" w:rsidRPr="00995767">
        <w:rPr>
          <w:sz w:val="24"/>
        </w:rPr>
        <w:t xml:space="preserve">a backlog of works </w:t>
      </w:r>
      <w:r w:rsidR="00601683" w:rsidRPr="00995767">
        <w:rPr>
          <w:sz w:val="24"/>
        </w:rPr>
        <w:t xml:space="preserve">aimed at improving the overall condition of the whole estate </w:t>
      </w:r>
      <w:r w:rsidR="00DB5979" w:rsidRPr="00995767">
        <w:rPr>
          <w:sz w:val="24"/>
        </w:rPr>
        <w:t xml:space="preserve">including </w:t>
      </w:r>
      <w:r w:rsidR="00AC43C9" w:rsidRPr="00995767">
        <w:rPr>
          <w:sz w:val="24"/>
        </w:rPr>
        <w:t>repairs, refurbishment and minor improvements</w:t>
      </w:r>
      <w:r w:rsidR="00601683" w:rsidRPr="00995767">
        <w:rPr>
          <w:sz w:val="24"/>
        </w:rPr>
        <w:t xml:space="preserve"> to properties. This is in addition to a £</w:t>
      </w:r>
      <w:r w:rsidR="00CD024D" w:rsidRPr="00995767">
        <w:rPr>
          <w:sz w:val="24"/>
        </w:rPr>
        <w:t>650</w:t>
      </w:r>
      <w:r w:rsidR="00601683" w:rsidRPr="00995767">
        <w:rPr>
          <w:sz w:val="24"/>
        </w:rPr>
        <w:t>k overspend that was included in the Q</w:t>
      </w:r>
      <w:r w:rsidR="00DB5979" w:rsidRPr="00995767">
        <w:rPr>
          <w:sz w:val="24"/>
        </w:rPr>
        <w:t xml:space="preserve">uarter </w:t>
      </w:r>
      <w:r w:rsidR="00CD024D" w:rsidRPr="00995767">
        <w:rPr>
          <w:sz w:val="24"/>
        </w:rPr>
        <w:t>2</w:t>
      </w:r>
      <w:r w:rsidR="00601683" w:rsidRPr="00995767">
        <w:rPr>
          <w:sz w:val="24"/>
        </w:rPr>
        <w:t xml:space="preserve"> report. </w:t>
      </w:r>
    </w:p>
    <w:p w:rsidR="002A3010" w:rsidRPr="00995767" w:rsidRDefault="00601683" w:rsidP="000E7E1E">
      <w:pPr>
        <w:pStyle w:val="ListParagraph"/>
        <w:numPr>
          <w:ilvl w:val="0"/>
          <w:numId w:val="160"/>
        </w:numPr>
        <w:ind w:left="567" w:hanging="567"/>
        <w:contextualSpacing w:val="0"/>
        <w:rPr>
          <w:sz w:val="24"/>
        </w:rPr>
      </w:pPr>
      <w:r w:rsidRPr="00995767">
        <w:rPr>
          <w:sz w:val="24"/>
        </w:rPr>
        <w:t>The</w:t>
      </w:r>
      <w:r w:rsidR="00310E8E">
        <w:rPr>
          <w:sz w:val="24"/>
        </w:rPr>
        <w:t xml:space="preserve">re </w:t>
      </w:r>
      <w:r w:rsidR="00941DC8">
        <w:rPr>
          <w:sz w:val="24"/>
        </w:rPr>
        <w:t xml:space="preserve">are </w:t>
      </w:r>
      <w:r w:rsidR="00310E8E">
        <w:rPr>
          <w:sz w:val="24"/>
        </w:rPr>
        <w:t xml:space="preserve">also </w:t>
      </w:r>
      <w:r w:rsidR="003C1D35" w:rsidRPr="00995767">
        <w:rPr>
          <w:sz w:val="24"/>
        </w:rPr>
        <w:t>additional</w:t>
      </w:r>
      <w:r w:rsidR="002A3010" w:rsidRPr="00995767">
        <w:rPr>
          <w:sz w:val="24"/>
        </w:rPr>
        <w:t xml:space="preserve"> </w:t>
      </w:r>
      <w:r w:rsidRPr="00995767">
        <w:rPr>
          <w:sz w:val="24"/>
        </w:rPr>
        <w:t>overspend</w:t>
      </w:r>
      <w:r w:rsidR="003C1D35" w:rsidRPr="00995767">
        <w:rPr>
          <w:sz w:val="24"/>
        </w:rPr>
        <w:t>s</w:t>
      </w:r>
      <w:r w:rsidRPr="00995767">
        <w:rPr>
          <w:sz w:val="24"/>
        </w:rPr>
        <w:t xml:space="preserve"> </w:t>
      </w:r>
      <w:r w:rsidR="00182CD8" w:rsidRPr="00182CD8">
        <w:rPr>
          <w:sz w:val="24"/>
        </w:rPr>
        <w:t xml:space="preserve">on rent </w:t>
      </w:r>
      <w:r w:rsidR="006569B0">
        <w:rPr>
          <w:sz w:val="24"/>
        </w:rPr>
        <w:t>(</w:t>
      </w:r>
      <w:r w:rsidR="00AB0C80">
        <w:rPr>
          <w:sz w:val="24"/>
        </w:rPr>
        <w:t>£181k</w:t>
      </w:r>
      <w:r w:rsidR="006569B0">
        <w:rPr>
          <w:sz w:val="24"/>
        </w:rPr>
        <w:t xml:space="preserve">) </w:t>
      </w:r>
      <w:r w:rsidR="00182CD8" w:rsidRPr="00182CD8">
        <w:rPr>
          <w:sz w:val="24"/>
        </w:rPr>
        <w:t xml:space="preserve">due to the short term renewal of the lease for the existing Brigade Distribution Centre </w:t>
      </w:r>
      <w:r w:rsidR="006569B0">
        <w:rPr>
          <w:sz w:val="24"/>
        </w:rPr>
        <w:t>as set out in the report on the</w:t>
      </w:r>
      <w:r w:rsidR="00C04F6F" w:rsidRPr="00C04F6F">
        <w:rPr>
          <w:sz w:val="24"/>
        </w:rPr>
        <w:t xml:space="preserve"> Integrated Equipment &amp; Logistics Project</w:t>
      </w:r>
      <w:r w:rsidR="00C04F6F">
        <w:rPr>
          <w:sz w:val="24"/>
        </w:rPr>
        <w:t xml:space="preserve"> (FEP 2812),</w:t>
      </w:r>
      <w:r w:rsidR="00182CD8" w:rsidRPr="00182CD8">
        <w:rPr>
          <w:sz w:val="24"/>
        </w:rPr>
        <w:t xml:space="preserve"> </w:t>
      </w:r>
      <w:r w:rsidR="003C1D35" w:rsidRPr="00995767">
        <w:rPr>
          <w:sz w:val="24"/>
        </w:rPr>
        <w:t>fixtures and fittings</w:t>
      </w:r>
      <w:r w:rsidR="0075182F" w:rsidRPr="00995767">
        <w:rPr>
          <w:sz w:val="24"/>
        </w:rPr>
        <w:t xml:space="preserve"> to replace dilapidated gym equipment at fire stations</w:t>
      </w:r>
      <w:r w:rsidR="003C1D35" w:rsidRPr="00995767">
        <w:rPr>
          <w:sz w:val="24"/>
        </w:rPr>
        <w:t xml:space="preserve"> (£101k) and premises security </w:t>
      </w:r>
      <w:r w:rsidR="00567E88" w:rsidRPr="00995767">
        <w:rPr>
          <w:sz w:val="24"/>
        </w:rPr>
        <w:t xml:space="preserve">as rental income from letting </w:t>
      </w:r>
      <w:r w:rsidR="00F36537">
        <w:rPr>
          <w:sz w:val="24"/>
        </w:rPr>
        <w:t xml:space="preserve">space </w:t>
      </w:r>
      <w:r w:rsidR="00567E88" w:rsidRPr="00995767">
        <w:rPr>
          <w:sz w:val="24"/>
        </w:rPr>
        <w:t xml:space="preserve">at the Rear Block at Albert Embankment </w:t>
      </w:r>
      <w:r w:rsidR="00F36537">
        <w:rPr>
          <w:sz w:val="24"/>
        </w:rPr>
        <w:t xml:space="preserve">is unlikely </w:t>
      </w:r>
      <w:r w:rsidR="00567E88" w:rsidRPr="00995767">
        <w:rPr>
          <w:sz w:val="24"/>
        </w:rPr>
        <w:t xml:space="preserve">to cover the costs of security </w:t>
      </w:r>
      <w:r w:rsidR="003C1D35" w:rsidRPr="00995767">
        <w:rPr>
          <w:sz w:val="24"/>
        </w:rPr>
        <w:t>(£97k).</w:t>
      </w:r>
      <w:r w:rsidR="002C4772" w:rsidRPr="002C4772">
        <w:rPr>
          <w:sz w:val="24"/>
        </w:rPr>
        <w:t xml:space="preserve"> </w:t>
      </w:r>
      <w:r w:rsidR="002C4772">
        <w:rPr>
          <w:sz w:val="24"/>
        </w:rPr>
        <w:t xml:space="preserve">The forecast also includes previously reported overspends on </w:t>
      </w:r>
      <w:r w:rsidR="002C4772" w:rsidRPr="002C4772">
        <w:rPr>
          <w:sz w:val="24"/>
        </w:rPr>
        <w:t>the cost of security at three sites that were expected to be sold in 2017/18 (£113k) and a forecast overspend on option appraisal fees for major capital projects</w:t>
      </w:r>
      <w:r w:rsidR="002C4772">
        <w:rPr>
          <w:sz w:val="24"/>
        </w:rPr>
        <w:t xml:space="preserve"> (£70k).</w:t>
      </w:r>
    </w:p>
    <w:p w:rsidR="00215852" w:rsidRPr="00290645" w:rsidRDefault="00540230" w:rsidP="004C6692">
      <w:pPr>
        <w:pStyle w:val="NumbList"/>
        <w:numPr>
          <w:ilvl w:val="0"/>
          <w:numId w:val="0"/>
        </w:numPr>
        <w:spacing w:after="0"/>
        <w:ind w:left="567" w:hanging="567"/>
        <w:rPr>
          <w:b/>
          <w:sz w:val="24"/>
        </w:rPr>
      </w:pPr>
      <w:r w:rsidRPr="00290645">
        <w:rPr>
          <w:b/>
          <w:sz w:val="24"/>
        </w:rPr>
        <w:t>Transport</w:t>
      </w:r>
    </w:p>
    <w:p w:rsidR="00626960" w:rsidRPr="00452962" w:rsidRDefault="00215852" w:rsidP="00C65FF7">
      <w:pPr>
        <w:pStyle w:val="ListParagraph"/>
        <w:numPr>
          <w:ilvl w:val="0"/>
          <w:numId w:val="160"/>
        </w:numPr>
        <w:ind w:left="567" w:hanging="567"/>
        <w:contextualSpacing w:val="0"/>
        <w:rPr>
          <w:b/>
          <w:sz w:val="24"/>
        </w:rPr>
      </w:pPr>
      <w:r w:rsidRPr="00452962">
        <w:rPr>
          <w:sz w:val="24"/>
        </w:rPr>
        <w:t xml:space="preserve">Transport budgets </w:t>
      </w:r>
      <w:r w:rsidR="00C06E50" w:rsidRPr="00452962">
        <w:rPr>
          <w:sz w:val="24"/>
        </w:rPr>
        <w:t xml:space="preserve">are forecast to </w:t>
      </w:r>
      <w:r w:rsidR="00FB65B4" w:rsidRPr="00452962">
        <w:rPr>
          <w:sz w:val="24"/>
        </w:rPr>
        <w:t>unde</w:t>
      </w:r>
      <w:r w:rsidR="006D3ECF" w:rsidRPr="00452962">
        <w:rPr>
          <w:sz w:val="24"/>
        </w:rPr>
        <w:t>rspend</w:t>
      </w:r>
      <w:r w:rsidR="00C06E50" w:rsidRPr="00452962">
        <w:rPr>
          <w:sz w:val="24"/>
        </w:rPr>
        <w:t xml:space="preserve"> by £</w:t>
      </w:r>
      <w:r w:rsidR="003C1D35" w:rsidRPr="00452962">
        <w:rPr>
          <w:sz w:val="24"/>
        </w:rPr>
        <w:t>143</w:t>
      </w:r>
      <w:r w:rsidR="00F9148C" w:rsidRPr="00452962">
        <w:rPr>
          <w:sz w:val="24"/>
        </w:rPr>
        <w:t>k</w:t>
      </w:r>
      <w:r w:rsidR="00FB65B4" w:rsidRPr="00452962">
        <w:rPr>
          <w:sz w:val="24"/>
        </w:rPr>
        <w:t>, a reduction in spend of £</w:t>
      </w:r>
      <w:r w:rsidR="003C1D35" w:rsidRPr="00452962">
        <w:rPr>
          <w:sz w:val="24"/>
        </w:rPr>
        <w:t>53</w:t>
      </w:r>
      <w:r w:rsidR="00FB65B4" w:rsidRPr="00452962">
        <w:rPr>
          <w:sz w:val="24"/>
        </w:rPr>
        <w:t>k from</w:t>
      </w:r>
      <w:r w:rsidR="00555EF0" w:rsidRPr="00452962">
        <w:rPr>
          <w:sz w:val="24"/>
        </w:rPr>
        <w:t xml:space="preserve"> the</w:t>
      </w:r>
      <w:r w:rsidR="00FB65B4" w:rsidRPr="00452962">
        <w:rPr>
          <w:sz w:val="24"/>
        </w:rPr>
        <w:t xml:space="preserve"> </w:t>
      </w:r>
      <w:r w:rsidR="002E4922" w:rsidRPr="00452962">
        <w:rPr>
          <w:sz w:val="24"/>
        </w:rPr>
        <w:t xml:space="preserve">position reported at Quarter </w:t>
      </w:r>
      <w:r w:rsidR="0091257B" w:rsidRPr="00452962">
        <w:rPr>
          <w:sz w:val="24"/>
        </w:rPr>
        <w:t>2</w:t>
      </w:r>
      <w:r w:rsidR="00F36537">
        <w:rPr>
          <w:sz w:val="24"/>
        </w:rPr>
        <w:t xml:space="preserve">. This is </w:t>
      </w:r>
      <w:r w:rsidR="0091257B" w:rsidRPr="00452962">
        <w:rPr>
          <w:sz w:val="24"/>
        </w:rPr>
        <w:t>largely</w:t>
      </w:r>
      <w:r w:rsidR="003C1D35" w:rsidRPr="00452962">
        <w:rPr>
          <w:sz w:val="24"/>
        </w:rPr>
        <w:t xml:space="preserve"> due to </w:t>
      </w:r>
      <w:r w:rsidR="00C270C0" w:rsidRPr="00452962">
        <w:rPr>
          <w:sz w:val="24"/>
        </w:rPr>
        <w:t xml:space="preserve">a reduction in the forecast </w:t>
      </w:r>
      <w:r w:rsidR="006B72DB" w:rsidRPr="00452962">
        <w:rPr>
          <w:sz w:val="24"/>
        </w:rPr>
        <w:t>charge</w:t>
      </w:r>
      <w:r w:rsidR="009B0486" w:rsidRPr="00452962">
        <w:rPr>
          <w:sz w:val="24"/>
        </w:rPr>
        <w:t>s</w:t>
      </w:r>
      <w:r w:rsidR="006B72DB" w:rsidRPr="00452962">
        <w:rPr>
          <w:sz w:val="24"/>
        </w:rPr>
        <w:t xml:space="preserve"> for </w:t>
      </w:r>
      <w:r w:rsidR="00C270C0" w:rsidRPr="00452962">
        <w:rPr>
          <w:sz w:val="24"/>
        </w:rPr>
        <w:t>lease car</w:t>
      </w:r>
      <w:r w:rsidR="009B0486" w:rsidRPr="00452962">
        <w:rPr>
          <w:sz w:val="24"/>
        </w:rPr>
        <w:t xml:space="preserve">s. </w:t>
      </w:r>
      <w:r w:rsidR="0091257B" w:rsidRPr="00452962">
        <w:rPr>
          <w:sz w:val="24"/>
        </w:rPr>
        <w:t xml:space="preserve">The previously reported position includes </w:t>
      </w:r>
      <w:r w:rsidR="00F04AA3" w:rsidRPr="00452962">
        <w:rPr>
          <w:sz w:val="24"/>
        </w:rPr>
        <w:t xml:space="preserve">forecast </w:t>
      </w:r>
      <w:r w:rsidR="0091257B" w:rsidRPr="00452962">
        <w:rPr>
          <w:sz w:val="24"/>
        </w:rPr>
        <w:t>underspends of £151k on vehicle passthroughs due to spend for the ultra low emission zone that has been reallocated to</w:t>
      </w:r>
      <w:r w:rsidR="00941DC8">
        <w:rPr>
          <w:sz w:val="24"/>
        </w:rPr>
        <w:t xml:space="preserve"> the</w:t>
      </w:r>
      <w:r w:rsidR="0091257B" w:rsidRPr="00452962">
        <w:rPr>
          <w:sz w:val="24"/>
        </w:rPr>
        <w:t xml:space="preserve"> 2018/19 financial year, on transport budgets and fuel costs at Fire Stations of £</w:t>
      </w:r>
      <w:r w:rsidR="00F04AA3" w:rsidRPr="00452962">
        <w:rPr>
          <w:sz w:val="24"/>
        </w:rPr>
        <w:t>65</w:t>
      </w:r>
      <w:r w:rsidR="0091257B" w:rsidRPr="00452962">
        <w:rPr>
          <w:sz w:val="24"/>
        </w:rPr>
        <w:t>k and £37k respectively and abatements on the vehicle and equipment contract of £</w:t>
      </w:r>
      <w:r w:rsidR="00F04AA3" w:rsidRPr="00452962">
        <w:rPr>
          <w:sz w:val="24"/>
        </w:rPr>
        <w:t>9</w:t>
      </w:r>
      <w:r w:rsidR="0091257B" w:rsidRPr="00452962">
        <w:rPr>
          <w:sz w:val="24"/>
        </w:rPr>
        <w:t>1k</w:t>
      </w:r>
      <w:r w:rsidR="00941DC8">
        <w:rPr>
          <w:sz w:val="24"/>
        </w:rPr>
        <w:t>. These underspends are</w:t>
      </w:r>
      <w:r w:rsidR="00F04AA3" w:rsidRPr="00452962">
        <w:rPr>
          <w:sz w:val="24"/>
        </w:rPr>
        <w:t xml:space="preserve"> offset by a forecast overspend on insurance budgets of £284k following changes to the discount rates within personal injury markets and a higher forecast cost of insurance claims.</w:t>
      </w:r>
    </w:p>
    <w:p w:rsidR="00D41459" w:rsidRPr="00764BE6" w:rsidRDefault="00D41459" w:rsidP="004C6692">
      <w:pPr>
        <w:pStyle w:val="NumbList"/>
        <w:numPr>
          <w:ilvl w:val="0"/>
          <w:numId w:val="0"/>
        </w:numPr>
        <w:spacing w:after="0"/>
        <w:ind w:left="567" w:hanging="567"/>
        <w:rPr>
          <w:b/>
          <w:sz w:val="24"/>
        </w:rPr>
      </w:pPr>
      <w:r w:rsidRPr="00764BE6">
        <w:rPr>
          <w:b/>
          <w:sz w:val="24"/>
        </w:rPr>
        <w:t>Supplies and Services</w:t>
      </w:r>
    </w:p>
    <w:p w:rsidR="00B57EA7" w:rsidRDefault="00F35DE7" w:rsidP="00C65FF7">
      <w:pPr>
        <w:pStyle w:val="ListParagraph"/>
        <w:numPr>
          <w:ilvl w:val="0"/>
          <w:numId w:val="160"/>
        </w:numPr>
        <w:ind w:left="567" w:hanging="567"/>
        <w:contextualSpacing w:val="0"/>
        <w:rPr>
          <w:sz w:val="24"/>
        </w:rPr>
      </w:pPr>
      <w:r w:rsidRPr="007B4293">
        <w:rPr>
          <w:sz w:val="24"/>
        </w:rPr>
        <w:t>There is a forecast</w:t>
      </w:r>
      <w:r w:rsidR="00ED2DD7" w:rsidRPr="007B4293">
        <w:rPr>
          <w:sz w:val="24"/>
        </w:rPr>
        <w:t xml:space="preserve"> </w:t>
      </w:r>
      <w:r w:rsidR="00825A65" w:rsidRPr="007B4293">
        <w:rPr>
          <w:sz w:val="24"/>
        </w:rPr>
        <w:t>overspend</w:t>
      </w:r>
      <w:r w:rsidR="00A44A23" w:rsidRPr="007B4293">
        <w:rPr>
          <w:sz w:val="24"/>
        </w:rPr>
        <w:t xml:space="preserve"> of £</w:t>
      </w:r>
      <w:r w:rsidR="00825A65" w:rsidRPr="007B4293">
        <w:rPr>
          <w:sz w:val="24"/>
        </w:rPr>
        <w:t>275</w:t>
      </w:r>
      <w:r w:rsidR="005F4979" w:rsidRPr="007B4293">
        <w:rPr>
          <w:sz w:val="24"/>
        </w:rPr>
        <w:t xml:space="preserve">k </w:t>
      </w:r>
      <w:r w:rsidR="00A44A23" w:rsidRPr="007B4293">
        <w:rPr>
          <w:sz w:val="24"/>
        </w:rPr>
        <w:t>on supplies and services budgets</w:t>
      </w:r>
      <w:r w:rsidR="00331372" w:rsidRPr="007B4293">
        <w:rPr>
          <w:sz w:val="24"/>
        </w:rPr>
        <w:t xml:space="preserve">. </w:t>
      </w:r>
      <w:r w:rsidR="00825A65" w:rsidRPr="007B4293">
        <w:rPr>
          <w:sz w:val="24"/>
        </w:rPr>
        <w:t xml:space="preserve">This includes an increase </w:t>
      </w:r>
      <w:r w:rsidR="00331372" w:rsidRPr="007B4293">
        <w:rPr>
          <w:sz w:val="24"/>
        </w:rPr>
        <w:t xml:space="preserve">in </w:t>
      </w:r>
      <w:r w:rsidR="00825A65" w:rsidRPr="007B4293">
        <w:rPr>
          <w:sz w:val="24"/>
        </w:rPr>
        <w:t xml:space="preserve">spend </w:t>
      </w:r>
      <w:r w:rsidR="00331372" w:rsidRPr="007B4293">
        <w:rPr>
          <w:sz w:val="24"/>
        </w:rPr>
        <w:t xml:space="preserve">of </w:t>
      </w:r>
      <w:r w:rsidR="00182DE9" w:rsidRPr="007B4293">
        <w:rPr>
          <w:sz w:val="24"/>
        </w:rPr>
        <w:t>£</w:t>
      </w:r>
      <w:r w:rsidR="00825A65" w:rsidRPr="007B4293">
        <w:rPr>
          <w:sz w:val="24"/>
        </w:rPr>
        <w:t>776</w:t>
      </w:r>
      <w:r w:rsidR="005F4979" w:rsidRPr="007B4293">
        <w:rPr>
          <w:sz w:val="24"/>
        </w:rPr>
        <w:t xml:space="preserve">k </w:t>
      </w:r>
      <w:r w:rsidR="00182DE9" w:rsidRPr="007B4293">
        <w:rPr>
          <w:sz w:val="24"/>
        </w:rPr>
        <w:t>since last reported</w:t>
      </w:r>
      <w:r w:rsidR="00D36D1A" w:rsidRPr="007B4293">
        <w:rPr>
          <w:sz w:val="24"/>
        </w:rPr>
        <w:t xml:space="preserve">. </w:t>
      </w:r>
      <w:r w:rsidR="00585D3C" w:rsidRPr="007B4293">
        <w:rPr>
          <w:sz w:val="24"/>
        </w:rPr>
        <w:t xml:space="preserve">The movement is due to </w:t>
      </w:r>
      <w:r w:rsidR="00173B3A" w:rsidRPr="007B4293">
        <w:rPr>
          <w:sz w:val="24"/>
        </w:rPr>
        <w:t xml:space="preserve">additional spend on </w:t>
      </w:r>
      <w:r w:rsidR="00825A65" w:rsidRPr="007B4293">
        <w:rPr>
          <w:sz w:val="24"/>
        </w:rPr>
        <w:t>op</w:t>
      </w:r>
      <w:r w:rsidR="00173B3A" w:rsidRPr="007B4293">
        <w:rPr>
          <w:sz w:val="24"/>
        </w:rPr>
        <w:t xml:space="preserve">erational </w:t>
      </w:r>
      <w:r w:rsidR="00825A65" w:rsidRPr="007B4293">
        <w:rPr>
          <w:sz w:val="24"/>
        </w:rPr>
        <w:t xml:space="preserve">equipment </w:t>
      </w:r>
      <w:r w:rsidR="00173B3A" w:rsidRPr="007B4293">
        <w:rPr>
          <w:sz w:val="24"/>
        </w:rPr>
        <w:t>budgets due to spend on new firefighter technology (£203k), the cost of replacement equipment for the Grenfell incident (£121k)</w:t>
      </w:r>
      <w:r w:rsidR="00941DC8">
        <w:rPr>
          <w:sz w:val="24"/>
        </w:rPr>
        <w:t xml:space="preserve">, </w:t>
      </w:r>
      <w:r w:rsidR="00173B3A" w:rsidRPr="007B4293">
        <w:rPr>
          <w:sz w:val="24"/>
        </w:rPr>
        <w:t>higher levels of repair and maintenance for breathing apparatus (£87</w:t>
      </w:r>
      <w:r w:rsidR="00825A65" w:rsidRPr="007B4293">
        <w:rPr>
          <w:sz w:val="24"/>
        </w:rPr>
        <w:t xml:space="preserve">k), </w:t>
      </w:r>
      <w:r w:rsidR="004A7C3D">
        <w:rPr>
          <w:sz w:val="24"/>
        </w:rPr>
        <w:t xml:space="preserve">and </w:t>
      </w:r>
      <w:r w:rsidR="00173B3A" w:rsidRPr="007B4293">
        <w:rPr>
          <w:sz w:val="24"/>
        </w:rPr>
        <w:t xml:space="preserve">on </w:t>
      </w:r>
      <w:r w:rsidR="00825A65" w:rsidRPr="007B4293">
        <w:rPr>
          <w:sz w:val="24"/>
        </w:rPr>
        <w:t xml:space="preserve">hardware and software </w:t>
      </w:r>
      <w:r w:rsidR="00173B3A" w:rsidRPr="007B4293">
        <w:rPr>
          <w:sz w:val="24"/>
        </w:rPr>
        <w:t xml:space="preserve">due to additional spend on equipment at the </w:t>
      </w:r>
      <w:r w:rsidR="00803780">
        <w:rPr>
          <w:sz w:val="24"/>
        </w:rPr>
        <w:t>London Operations Centre</w:t>
      </w:r>
      <w:r w:rsidR="00173B3A" w:rsidRPr="007B4293">
        <w:rPr>
          <w:sz w:val="24"/>
        </w:rPr>
        <w:t xml:space="preserve"> (£90k)</w:t>
      </w:r>
      <w:r w:rsidR="004A7C3D">
        <w:rPr>
          <w:sz w:val="24"/>
        </w:rPr>
        <w:t xml:space="preserve">. There is also </w:t>
      </w:r>
      <w:r w:rsidR="00F36537">
        <w:rPr>
          <w:sz w:val="24"/>
        </w:rPr>
        <w:t xml:space="preserve">additional </w:t>
      </w:r>
      <w:r w:rsidR="004A7C3D">
        <w:rPr>
          <w:sz w:val="24"/>
        </w:rPr>
        <w:t xml:space="preserve">spend on </w:t>
      </w:r>
      <w:r w:rsidR="00F36537">
        <w:rPr>
          <w:sz w:val="24"/>
        </w:rPr>
        <w:t xml:space="preserve">the </w:t>
      </w:r>
      <w:r w:rsidR="00173B3A" w:rsidRPr="007B4293">
        <w:rPr>
          <w:sz w:val="24"/>
        </w:rPr>
        <w:t xml:space="preserve">LFB website </w:t>
      </w:r>
      <w:r w:rsidR="00825A65" w:rsidRPr="007B4293">
        <w:rPr>
          <w:sz w:val="24"/>
        </w:rPr>
        <w:t>(£</w:t>
      </w:r>
      <w:r w:rsidR="00173B3A" w:rsidRPr="007B4293">
        <w:rPr>
          <w:sz w:val="24"/>
        </w:rPr>
        <w:t>57</w:t>
      </w:r>
      <w:r w:rsidR="00825A65" w:rsidRPr="007B4293">
        <w:rPr>
          <w:sz w:val="24"/>
        </w:rPr>
        <w:t xml:space="preserve">k), </w:t>
      </w:r>
      <w:r w:rsidR="00173B3A" w:rsidRPr="007B4293">
        <w:rPr>
          <w:sz w:val="24"/>
        </w:rPr>
        <w:t xml:space="preserve">on </w:t>
      </w:r>
      <w:r w:rsidR="00825A65" w:rsidRPr="007B4293">
        <w:rPr>
          <w:sz w:val="24"/>
        </w:rPr>
        <w:t xml:space="preserve">professional services </w:t>
      </w:r>
      <w:r w:rsidR="00173B3A" w:rsidRPr="007B4293">
        <w:rPr>
          <w:sz w:val="24"/>
        </w:rPr>
        <w:t xml:space="preserve">budgets due </w:t>
      </w:r>
      <w:r w:rsidR="007B4293" w:rsidRPr="007B4293">
        <w:rPr>
          <w:sz w:val="24"/>
        </w:rPr>
        <w:t>to an increase in forecast legal costs (£63k)</w:t>
      </w:r>
      <w:r w:rsidR="00D67151">
        <w:rPr>
          <w:sz w:val="24"/>
        </w:rPr>
        <w:t xml:space="preserve">, </w:t>
      </w:r>
      <w:r w:rsidR="004A7C3D">
        <w:rPr>
          <w:sz w:val="24"/>
        </w:rPr>
        <w:t xml:space="preserve">on </w:t>
      </w:r>
      <w:r w:rsidR="007B4293" w:rsidRPr="007B4293">
        <w:rPr>
          <w:sz w:val="24"/>
        </w:rPr>
        <w:t xml:space="preserve">first aid training costs being paid to the Emergency Fire Crew contractor </w:t>
      </w:r>
      <w:r w:rsidR="00825A65" w:rsidRPr="007B4293">
        <w:rPr>
          <w:sz w:val="24"/>
        </w:rPr>
        <w:t>(£</w:t>
      </w:r>
      <w:r w:rsidR="007B4293" w:rsidRPr="007B4293">
        <w:rPr>
          <w:sz w:val="24"/>
        </w:rPr>
        <w:t>56</w:t>
      </w:r>
      <w:r w:rsidR="00825A65" w:rsidRPr="007B4293">
        <w:rPr>
          <w:sz w:val="24"/>
        </w:rPr>
        <w:t xml:space="preserve">k) and </w:t>
      </w:r>
      <w:r w:rsidR="007B4293" w:rsidRPr="007B4293">
        <w:rPr>
          <w:sz w:val="24"/>
        </w:rPr>
        <w:t xml:space="preserve">a reduction in the forecast underspend on </w:t>
      </w:r>
      <w:r w:rsidR="007B4293">
        <w:rPr>
          <w:sz w:val="24"/>
        </w:rPr>
        <w:t xml:space="preserve">operational staff </w:t>
      </w:r>
      <w:r w:rsidR="00825A65" w:rsidRPr="007B4293">
        <w:rPr>
          <w:sz w:val="24"/>
        </w:rPr>
        <w:t xml:space="preserve">clothing </w:t>
      </w:r>
      <w:r w:rsidR="007B4293" w:rsidRPr="007B4293">
        <w:rPr>
          <w:sz w:val="24"/>
        </w:rPr>
        <w:t xml:space="preserve">budgets based on the current spend to date </w:t>
      </w:r>
      <w:r w:rsidR="00825A65" w:rsidRPr="007B4293">
        <w:rPr>
          <w:sz w:val="24"/>
        </w:rPr>
        <w:t>(£92k).</w:t>
      </w:r>
    </w:p>
    <w:p w:rsidR="00ED2E50" w:rsidRDefault="00ED2E50" w:rsidP="00C65FF7">
      <w:pPr>
        <w:pStyle w:val="ListParagraph"/>
        <w:numPr>
          <w:ilvl w:val="0"/>
          <w:numId w:val="160"/>
        </w:numPr>
        <w:ind w:left="567" w:hanging="567"/>
        <w:contextualSpacing w:val="0"/>
        <w:rPr>
          <w:sz w:val="24"/>
        </w:rPr>
      </w:pPr>
      <w:r>
        <w:rPr>
          <w:sz w:val="24"/>
        </w:rPr>
        <w:t xml:space="preserve">These variances are in addition to the previously reported underspend </w:t>
      </w:r>
      <w:r w:rsidR="000036DB">
        <w:rPr>
          <w:sz w:val="24"/>
        </w:rPr>
        <w:t>on</w:t>
      </w:r>
      <w:r w:rsidR="008F2A4D">
        <w:rPr>
          <w:sz w:val="24"/>
        </w:rPr>
        <w:t xml:space="preserve"> hydrants maintenance (£187k),</w:t>
      </w:r>
      <w:r w:rsidR="008F2A4D" w:rsidRPr="008F2A4D">
        <w:rPr>
          <w:sz w:val="24"/>
        </w:rPr>
        <w:t xml:space="preserve"> </w:t>
      </w:r>
      <w:r w:rsidR="008F2A4D">
        <w:rPr>
          <w:sz w:val="24"/>
        </w:rPr>
        <w:t>the control and mobilising contract (£180k) and</w:t>
      </w:r>
      <w:r w:rsidR="000036DB">
        <w:rPr>
          <w:sz w:val="24"/>
        </w:rPr>
        <w:t xml:space="preserve"> hardware and software </w:t>
      </w:r>
      <w:r w:rsidR="008F2A4D">
        <w:rPr>
          <w:sz w:val="24"/>
        </w:rPr>
        <w:t>budgets (</w:t>
      </w:r>
      <w:r w:rsidR="000036DB">
        <w:rPr>
          <w:sz w:val="24"/>
        </w:rPr>
        <w:t>£18</w:t>
      </w:r>
      <w:r w:rsidR="008F2A4D">
        <w:rPr>
          <w:sz w:val="24"/>
        </w:rPr>
        <w:t>4</w:t>
      </w:r>
      <w:r w:rsidR="000036DB">
        <w:rPr>
          <w:sz w:val="24"/>
        </w:rPr>
        <w:t>k</w:t>
      </w:r>
      <w:r w:rsidR="008F2A4D">
        <w:rPr>
          <w:sz w:val="24"/>
        </w:rPr>
        <w:t>), offset by a forecast overspend on legal professional fees (£135k).</w:t>
      </w:r>
    </w:p>
    <w:p w:rsidR="00CA4FB8" w:rsidRPr="00CA4FB8" w:rsidRDefault="00CA4FB8" w:rsidP="00CA4FB8">
      <w:pPr>
        <w:rPr>
          <w:sz w:val="24"/>
        </w:rPr>
      </w:pPr>
    </w:p>
    <w:p w:rsidR="0071768C" w:rsidRPr="00764BE6" w:rsidRDefault="0071768C" w:rsidP="004C6692">
      <w:pPr>
        <w:pStyle w:val="NumbList"/>
        <w:numPr>
          <w:ilvl w:val="0"/>
          <w:numId w:val="0"/>
        </w:numPr>
        <w:spacing w:after="0"/>
        <w:ind w:left="567" w:hanging="567"/>
        <w:rPr>
          <w:b/>
          <w:sz w:val="24"/>
        </w:rPr>
      </w:pPr>
      <w:r>
        <w:rPr>
          <w:b/>
          <w:sz w:val="24"/>
        </w:rPr>
        <w:t>Third Party Payments</w:t>
      </w:r>
    </w:p>
    <w:p w:rsidR="00D13060" w:rsidRPr="00825A65" w:rsidRDefault="0071768C" w:rsidP="00C65FF7">
      <w:pPr>
        <w:pStyle w:val="ListParagraph"/>
        <w:numPr>
          <w:ilvl w:val="0"/>
          <w:numId w:val="160"/>
        </w:numPr>
        <w:ind w:left="567" w:hanging="567"/>
      </w:pPr>
      <w:r w:rsidRPr="00825A65">
        <w:rPr>
          <w:sz w:val="24"/>
        </w:rPr>
        <w:t>There is a forecast overspend on third party payments of £</w:t>
      </w:r>
      <w:r w:rsidR="00825A65" w:rsidRPr="00825A65">
        <w:rPr>
          <w:sz w:val="24"/>
        </w:rPr>
        <w:t>279</w:t>
      </w:r>
      <w:r w:rsidRPr="00825A65">
        <w:rPr>
          <w:sz w:val="24"/>
        </w:rPr>
        <w:t>k</w:t>
      </w:r>
      <w:r w:rsidR="00825A65" w:rsidRPr="00825A65">
        <w:rPr>
          <w:sz w:val="24"/>
        </w:rPr>
        <w:t xml:space="preserve">. This has increased by £124k from the position reported at Quarter 2 </w:t>
      </w:r>
      <w:r w:rsidR="00C01D7D">
        <w:rPr>
          <w:sz w:val="24"/>
        </w:rPr>
        <w:t>due to a</w:t>
      </w:r>
      <w:r w:rsidR="00970223">
        <w:rPr>
          <w:sz w:val="24"/>
        </w:rPr>
        <w:t>n</w:t>
      </w:r>
      <w:r w:rsidR="00C01D7D">
        <w:rPr>
          <w:sz w:val="24"/>
        </w:rPr>
        <w:t xml:space="preserve"> </w:t>
      </w:r>
      <w:r w:rsidR="00825A65" w:rsidRPr="00825A65">
        <w:rPr>
          <w:sz w:val="24"/>
        </w:rPr>
        <w:t xml:space="preserve">increase in the </w:t>
      </w:r>
      <w:r w:rsidR="00C01D7D">
        <w:rPr>
          <w:sz w:val="24"/>
        </w:rPr>
        <w:t>spend</w:t>
      </w:r>
      <w:r w:rsidR="00A07E7B">
        <w:rPr>
          <w:sz w:val="24"/>
        </w:rPr>
        <w:t xml:space="preserve"> on </w:t>
      </w:r>
      <w:r w:rsidR="000B5A2C">
        <w:rPr>
          <w:sz w:val="24"/>
        </w:rPr>
        <w:t>the provision of</w:t>
      </w:r>
      <w:r w:rsidR="00825A65" w:rsidRPr="00825A65">
        <w:rPr>
          <w:sz w:val="24"/>
        </w:rPr>
        <w:t xml:space="preserve"> Mutual Assistance </w:t>
      </w:r>
      <w:r w:rsidR="000B5A2C">
        <w:rPr>
          <w:sz w:val="24"/>
        </w:rPr>
        <w:t xml:space="preserve">from </w:t>
      </w:r>
      <w:r w:rsidR="00825A65" w:rsidRPr="00825A65">
        <w:rPr>
          <w:sz w:val="24"/>
        </w:rPr>
        <w:t xml:space="preserve">neighbouring brigades. </w:t>
      </w:r>
    </w:p>
    <w:p w:rsidR="0071768C" w:rsidRPr="003A68F2" w:rsidRDefault="0071768C" w:rsidP="003A68F2">
      <w:pPr>
        <w:pStyle w:val="NumbList"/>
        <w:numPr>
          <w:ilvl w:val="0"/>
          <w:numId w:val="0"/>
        </w:numPr>
        <w:spacing w:after="0"/>
        <w:ind w:left="567" w:hanging="567"/>
        <w:rPr>
          <w:b/>
          <w:sz w:val="24"/>
        </w:rPr>
      </w:pPr>
      <w:r w:rsidRPr="003A68F2">
        <w:rPr>
          <w:b/>
          <w:sz w:val="24"/>
        </w:rPr>
        <w:t>Income</w:t>
      </w:r>
    </w:p>
    <w:p w:rsidR="00C01D7D" w:rsidRPr="00954A20" w:rsidRDefault="0071768C" w:rsidP="00C65FF7">
      <w:pPr>
        <w:pStyle w:val="ListParagraph"/>
        <w:numPr>
          <w:ilvl w:val="0"/>
          <w:numId w:val="160"/>
        </w:numPr>
        <w:ind w:left="567" w:hanging="567"/>
        <w:contextualSpacing w:val="0"/>
      </w:pPr>
      <w:r w:rsidRPr="00954A20">
        <w:rPr>
          <w:sz w:val="24"/>
        </w:rPr>
        <w:t>There is a forecast over recovery of £</w:t>
      </w:r>
      <w:r w:rsidR="00C01D7D" w:rsidRPr="00954A20">
        <w:rPr>
          <w:sz w:val="24"/>
        </w:rPr>
        <w:t>412</w:t>
      </w:r>
      <w:r w:rsidR="00267ACF" w:rsidRPr="00954A20">
        <w:rPr>
          <w:sz w:val="24"/>
        </w:rPr>
        <w:t xml:space="preserve">k </w:t>
      </w:r>
      <w:r w:rsidRPr="00954A20">
        <w:rPr>
          <w:sz w:val="24"/>
        </w:rPr>
        <w:t xml:space="preserve">on income. This </w:t>
      </w:r>
      <w:r w:rsidR="00267ACF" w:rsidRPr="00954A20">
        <w:rPr>
          <w:sz w:val="24"/>
        </w:rPr>
        <w:t>is a</w:t>
      </w:r>
      <w:r w:rsidR="00C01D7D" w:rsidRPr="00954A20">
        <w:rPr>
          <w:sz w:val="24"/>
        </w:rPr>
        <w:t>n increase</w:t>
      </w:r>
      <w:r w:rsidR="00267ACF" w:rsidRPr="00954A20">
        <w:rPr>
          <w:sz w:val="24"/>
        </w:rPr>
        <w:t xml:space="preserve"> in the amount of </w:t>
      </w:r>
      <w:r w:rsidRPr="00954A20">
        <w:rPr>
          <w:sz w:val="24"/>
        </w:rPr>
        <w:t xml:space="preserve">income </w:t>
      </w:r>
      <w:r w:rsidR="00267ACF" w:rsidRPr="00954A20">
        <w:rPr>
          <w:sz w:val="24"/>
        </w:rPr>
        <w:t xml:space="preserve">forecast to be received </w:t>
      </w:r>
      <w:r w:rsidRPr="00954A20">
        <w:rPr>
          <w:sz w:val="24"/>
        </w:rPr>
        <w:t>of £</w:t>
      </w:r>
      <w:r w:rsidR="00C01D7D" w:rsidRPr="00954A20">
        <w:rPr>
          <w:sz w:val="24"/>
        </w:rPr>
        <w:t>288</w:t>
      </w:r>
      <w:r w:rsidRPr="00954A20">
        <w:rPr>
          <w:sz w:val="24"/>
        </w:rPr>
        <w:t>k since last reported in Q</w:t>
      </w:r>
      <w:r w:rsidR="007A54F2" w:rsidRPr="00954A20">
        <w:rPr>
          <w:sz w:val="24"/>
        </w:rPr>
        <w:t xml:space="preserve">uarter </w:t>
      </w:r>
      <w:r w:rsidR="00C01D7D" w:rsidRPr="00954A20">
        <w:rPr>
          <w:sz w:val="24"/>
        </w:rPr>
        <w:t>2</w:t>
      </w:r>
      <w:r w:rsidR="009D41A7" w:rsidRPr="00954A20">
        <w:rPr>
          <w:sz w:val="24"/>
        </w:rPr>
        <w:t xml:space="preserve">. </w:t>
      </w:r>
      <w:r w:rsidR="000A7891" w:rsidRPr="00954A20">
        <w:rPr>
          <w:sz w:val="24"/>
        </w:rPr>
        <w:t xml:space="preserve">This includes </w:t>
      </w:r>
      <w:r w:rsidR="00967466" w:rsidRPr="00954A20">
        <w:rPr>
          <w:sz w:val="24"/>
        </w:rPr>
        <w:t xml:space="preserve">additional income of £185k </w:t>
      </w:r>
      <w:r w:rsidR="004D09AB">
        <w:rPr>
          <w:sz w:val="24"/>
        </w:rPr>
        <w:t>in res</w:t>
      </w:r>
      <w:r w:rsidR="00AC4FE4">
        <w:rPr>
          <w:sz w:val="24"/>
        </w:rPr>
        <w:t>p</w:t>
      </w:r>
      <w:r w:rsidR="004D09AB">
        <w:rPr>
          <w:sz w:val="24"/>
        </w:rPr>
        <w:t xml:space="preserve">ect of the </w:t>
      </w:r>
      <w:r w:rsidR="00967466" w:rsidRPr="00954A20">
        <w:rPr>
          <w:sz w:val="24"/>
        </w:rPr>
        <w:t>Metropolitan Fire Brigade (MFB) Act</w:t>
      </w:r>
      <w:r w:rsidR="004D09AB">
        <w:rPr>
          <w:sz w:val="24"/>
        </w:rPr>
        <w:t xml:space="preserve">. This is </w:t>
      </w:r>
      <w:r w:rsidR="00967466" w:rsidRPr="00954A20">
        <w:rPr>
          <w:sz w:val="24"/>
        </w:rPr>
        <w:t xml:space="preserve">in addition to </w:t>
      </w:r>
      <w:r w:rsidR="00AA1C77">
        <w:rPr>
          <w:sz w:val="24"/>
        </w:rPr>
        <w:t>the over recovery</w:t>
      </w:r>
      <w:r w:rsidR="00967466" w:rsidRPr="00954A20">
        <w:rPr>
          <w:sz w:val="24"/>
        </w:rPr>
        <w:t xml:space="preserve"> forecast </w:t>
      </w:r>
      <w:r w:rsidR="00AA1C77">
        <w:rPr>
          <w:sz w:val="24"/>
        </w:rPr>
        <w:t xml:space="preserve">reported in September (FEP2792) </w:t>
      </w:r>
      <w:r w:rsidR="00967466" w:rsidRPr="00954A20">
        <w:rPr>
          <w:sz w:val="24"/>
        </w:rPr>
        <w:t xml:space="preserve">at Quarter 2. </w:t>
      </w:r>
      <w:r w:rsidR="00954A20" w:rsidRPr="00954A20">
        <w:rPr>
          <w:sz w:val="24"/>
        </w:rPr>
        <w:t xml:space="preserve">The remainder of the movement </w:t>
      </w:r>
      <w:r w:rsidR="008F2A4D">
        <w:rPr>
          <w:sz w:val="24"/>
        </w:rPr>
        <w:t xml:space="preserve">from the forecast at Quarter 2 </w:t>
      </w:r>
      <w:r w:rsidR="00954A20" w:rsidRPr="00954A20">
        <w:rPr>
          <w:sz w:val="24"/>
        </w:rPr>
        <w:t xml:space="preserve">is due to additional </w:t>
      </w:r>
      <w:r w:rsidR="00954A20">
        <w:rPr>
          <w:sz w:val="24"/>
        </w:rPr>
        <w:t>telecom rental income following</w:t>
      </w:r>
      <w:r w:rsidR="008F2A4D">
        <w:rPr>
          <w:sz w:val="24"/>
        </w:rPr>
        <w:t xml:space="preserve"> a</w:t>
      </w:r>
      <w:r w:rsidR="00954A20">
        <w:rPr>
          <w:sz w:val="24"/>
        </w:rPr>
        <w:t xml:space="preserve"> review of leases in 2017/18</w:t>
      </w:r>
      <w:r w:rsidR="00954A20" w:rsidRPr="00954A20">
        <w:rPr>
          <w:sz w:val="24"/>
        </w:rPr>
        <w:t>.</w:t>
      </w:r>
    </w:p>
    <w:p w:rsidR="00F26F87" w:rsidRPr="008F2A4D" w:rsidRDefault="008F2A4D" w:rsidP="00C65FF7">
      <w:pPr>
        <w:pStyle w:val="ListParagraph"/>
        <w:numPr>
          <w:ilvl w:val="0"/>
          <w:numId w:val="160"/>
        </w:numPr>
        <w:ind w:left="567" w:hanging="567"/>
        <w:contextualSpacing w:val="0"/>
      </w:pPr>
      <w:r w:rsidRPr="008F2A4D">
        <w:rPr>
          <w:sz w:val="24"/>
        </w:rPr>
        <w:t xml:space="preserve">These variances are in addition to the previously reported </w:t>
      </w:r>
      <w:r w:rsidR="000A7891" w:rsidRPr="008F2A4D">
        <w:rPr>
          <w:sz w:val="24"/>
        </w:rPr>
        <w:t>reduction in forecast interest receipts (£195k)</w:t>
      </w:r>
      <w:r>
        <w:rPr>
          <w:sz w:val="24"/>
        </w:rPr>
        <w:t>,</w:t>
      </w:r>
      <w:r w:rsidR="00E03D0F" w:rsidRPr="008F2A4D">
        <w:rPr>
          <w:sz w:val="24"/>
        </w:rPr>
        <w:t xml:space="preserve"> </w:t>
      </w:r>
      <w:r w:rsidR="00E32A35" w:rsidRPr="008F2A4D">
        <w:rPr>
          <w:sz w:val="24"/>
        </w:rPr>
        <w:t xml:space="preserve">a </w:t>
      </w:r>
      <w:r w:rsidR="0021608A" w:rsidRPr="008F2A4D">
        <w:rPr>
          <w:sz w:val="24"/>
        </w:rPr>
        <w:t xml:space="preserve">forecast </w:t>
      </w:r>
      <w:r w:rsidR="00E32A35" w:rsidRPr="008F2A4D">
        <w:rPr>
          <w:sz w:val="24"/>
        </w:rPr>
        <w:t xml:space="preserve">reduction in the amount of community safety contributions that will be applied in this financial year with any income received being carried forward to support activities in future years (£175k), </w:t>
      </w:r>
      <w:r w:rsidR="00122EF5" w:rsidRPr="008F2A4D">
        <w:rPr>
          <w:sz w:val="24"/>
        </w:rPr>
        <w:t xml:space="preserve">a reduction in the number of charges raised to attend shut in lift </w:t>
      </w:r>
      <w:r w:rsidR="00EE5324">
        <w:rPr>
          <w:sz w:val="24"/>
        </w:rPr>
        <w:t xml:space="preserve">incidents </w:t>
      </w:r>
      <w:r w:rsidR="00122EF5" w:rsidRPr="008F2A4D">
        <w:rPr>
          <w:sz w:val="24"/>
        </w:rPr>
        <w:t xml:space="preserve">due to </w:t>
      </w:r>
      <w:r w:rsidR="00EE5324">
        <w:rPr>
          <w:sz w:val="24"/>
        </w:rPr>
        <w:t xml:space="preserve">a </w:t>
      </w:r>
      <w:r w:rsidR="00122EF5" w:rsidRPr="008F2A4D">
        <w:rPr>
          <w:sz w:val="24"/>
        </w:rPr>
        <w:t>reduction in call outs (£7</w:t>
      </w:r>
      <w:r w:rsidR="00122EF5">
        <w:rPr>
          <w:sz w:val="24"/>
        </w:rPr>
        <w:t>8</w:t>
      </w:r>
      <w:r w:rsidR="00122EF5" w:rsidRPr="008F2A4D">
        <w:rPr>
          <w:sz w:val="24"/>
        </w:rPr>
        <w:t>k)</w:t>
      </w:r>
      <w:r w:rsidR="00E32A35" w:rsidRPr="008F2A4D">
        <w:rPr>
          <w:sz w:val="24"/>
        </w:rPr>
        <w:t xml:space="preserve"> and</w:t>
      </w:r>
      <w:r w:rsidR="00122EF5" w:rsidRPr="00122EF5">
        <w:rPr>
          <w:sz w:val="24"/>
        </w:rPr>
        <w:t xml:space="preserve"> </w:t>
      </w:r>
      <w:r w:rsidR="00122EF5" w:rsidRPr="008F2A4D">
        <w:rPr>
          <w:sz w:val="24"/>
        </w:rPr>
        <w:t>a reduction in costs recovered from LFB enterprises because of the resignation of a full time member of staff (£</w:t>
      </w:r>
      <w:r w:rsidR="00122EF5">
        <w:rPr>
          <w:sz w:val="24"/>
        </w:rPr>
        <w:t>7</w:t>
      </w:r>
      <w:r w:rsidR="00122EF5" w:rsidRPr="008F2A4D">
        <w:rPr>
          <w:sz w:val="24"/>
        </w:rPr>
        <w:t>0k)</w:t>
      </w:r>
      <w:r w:rsidR="0021608A" w:rsidRPr="008F2A4D">
        <w:rPr>
          <w:sz w:val="24"/>
        </w:rPr>
        <w:t>.</w:t>
      </w:r>
      <w:r w:rsidR="001B1A75" w:rsidRPr="008F2A4D">
        <w:rPr>
          <w:sz w:val="24"/>
        </w:rPr>
        <w:t xml:space="preserve"> </w:t>
      </w:r>
      <w:r w:rsidR="000A7891" w:rsidRPr="008F2A4D">
        <w:rPr>
          <w:sz w:val="24"/>
        </w:rPr>
        <w:t>The remainder of the forecast over recovery is due to expected increased income from the GLA for additional space at Union Street (£262k).</w:t>
      </w:r>
    </w:p>
    <w:p w:rsidR="007C4F25" w:rsidRPr="002A664C" w:rsidRDefault="007C4F25" w:rsidP="004C6692">
      <w:pPr>
        <w:pStyle w:val="NumbList"/>
        <w:numPr>
          <w:ilvl w:val="0"/>
          <w:numId w:val="0"/>
        </w:numPr>
        <w:spacing w:after="0"/>
        <w:ind w:left="567" w:hanging="567"/>
        <w:rPr>
          <w:b/>
          <w:sz w:val="24"/>
        </w:rPr>
      </w:pPr>
      <w:r w:rsidRPr="002A664C">
        <w:rPr>
          <w:b/>
          <w:sz w:val="24"/>
        </w:rPr>
        <w:t>2018/19 Budget Update</w:t>
      </w:r>
    </w:p>
    <w:p w:rsidR="00894AC8" w:rsidRPr="00AA1C77" w:rsidRDefault="00EE5324" w:rsidP="00C65FF7">
      <w:pPr>
        <w:pStyle w:val="ListParagraph"/>
        <w:numPr>
          <w:ilvl w:val="0"/>
          <w:numId w:val="160"/>
        </w:numPr>
        <w:ind w:left="567" w:hanging="567"/>
        <w:rPr>
          <w:sz w:val="24"/>
        </w:rPr>
      </w:pPr>
      <w:r w:rsidRPr="00AA1C77">
        <w:rPr>
          <w:sz w:val="24"/>
        </w:rPr>
        <w:t>The January Budget Update report (FEP2809</w:t>
      </w:r>
      <w:r w:rsidR="004D09AB">
        <w:rPr>
          <w:sz w:val="24"/>
        </w:rPr>
        <w:t xml:space="preserve"> and 2809A</w:t>
      </w:r>
      <w:r w:rsidRPr="00AA1C77">
        <w:rPr>
          <w:sz w:val="24"/>
        </w:rPr>
        <w:t>)</w:t>
      </w:r>
      <w:r w:rsidR="00B30523" w:rsidRPr="00AA1C77">
        <w:rPr>
          <w:sz w:val="24"/>
        </w:rPr>
        <w:t xml:space="preserve"> set out a balanced budget for 2018/19 and a total budget gap of £12.0m over the next four years</w:t>
      </w:r>
      <w:r w:rsidR="009C50A5" w:rsidRPr="00AA1C77">
        <w:rPr>
          <w:sz w:val="24"/>
        </w:rPr>
        <w:t>.</w:t>
      </w:r>
      <w:r w:rsidR="00B30523" w:rsidRPr="00AA1C77">
        <w:rPr>
          <w:sz w:val="24"/>
        </w:rPr>
        <w:t xml:space="preserve"> The 2018/19 Budget Report (FEPXXXX), which is also on todays agenda provides an update to that position with detailed proposals for a balanced budget in 2018/19.</w:t>
      </w:r>
    </w:p>
    <w:p w:rsidR="00894AC8" w:rsidRPr="00894AC8" w:rsidRDefault="004D0680" w:rsidP="004C6692">
      <w:pPr>
        <w:pStyle w:val="NumbList"/>
        <w:numPr>
          <w:ilvl w:val="0"/>
          <w:numId w:val="0"/>
        </w:numPr>
        <w:spacing w:after="0"/>
        <w:ind w:left="567" w:hanging="567"/>
      </w:pPr>
      <w:r w:rsidRPr="00696298">
        <w:rPr>
          <w:b/>
          <w:sz w:val="24"/>
        </w:rPr>
        <w:t>Position on Reserves</w:t>
      </w:r>
    </w:p>
    <w:p w:rsidR="00B80392" w:rsidRPr="006B1F91" w:rsidRDefault="00D420ED" w:rsidP="00C65FF7">
      <w:pPr>
        <w:pStyle w:val="ListParagraph"/>
        <w:numPr>
          <w:ilvl w:val="0"/>
          <w:numId w:val="160"/>
        </w:numPr>
        <w:ind w:left="567" w:hanging="567"/>
        <w:rPr>
          <w:sz w:val="24"/>
        </w:rPr>
      </w:pPr>
      <w:r w:rsidRPr="006B1F91">
        <w:rPr>
          <w:sz w:val="24"/>
        </w:rPr>
        <w:t xml:space="preserve">The </w:t>
      </w:r>
      <w:r w:rsidR="00F35DE7" w:rsidRPr="006B1F91">
        <w:rPr>
          <w:sz w:val="24"/>
        </w:rPr>
        <w:t xml:space="preserve">forecast </w:t>
      </w:r>
      <w:r w:rsidRPr="006B1F91">
        <w:rPr>
          <w:sz w:val="24"/>
        </w:rPr>
        <w:t>p</w:t>
      </w:r>
      <w:r w:rsidR="00406117" w:rsidRPr="006B1F91">
        <w:rPr>
          <w:sz w:val="24"/>
        </w:rPr>
        <w:t>osition on reserve</w:t>
      </w:r>
      <w:r w:rsidR="00333F59" w:rsidRPr="006B1F91">
        <w:rPr>
          <w:sz w:val="24"/>
        </w:rPr>
        <w:t>s</w:t>
      </w:r>
      <w:r w:rsidR="00406117" w:rsidRPr="006B1F91">
        <w:rPr>
          <w:sz w:val="24"/>
        </w:rPr>
        <w:t xml:space="preserve"> </w:t>
      </w:r>
      <w:r w:rsidRPr="006B1F91">
        <w:rPr>
          <w:sz w:val="24"/>
        </w:rPr>
        <w:t xml:space="preserve">is set out in Table </w:t>
      </w:r>
      <w:r w:rsidR="00F35DE7" w:rsidRPr="006B1F91">
        <w:rPr>
          <w:sz w:val="24"/>
        </w:rPr>
        <w:t>2</w:t>
      </w:r>
      <w:r w:rsidRPr="006B1F91">
        <w:rPr>
          <w:sz w:val="24"/>
        </w:rPr>
        <w:t xml:space="preserve"> below.</w:t>
      </w:r>
      <w:r w:rsidR="00DC58A5" w:rsidRPr="006B1F91">
        <w:rPr>
          <w:sz w:val="24"/>
        </w:rPr>
        <w:t xml:space="preserve"> </w:t>
      </w:r>
      <w:r w:rsidR="00FB42D2" w:rsidRPr="006B1F91">
        <w:rPr>
          <w:sz w:val="24"/>
        </w:rPr>
        <w:t>Following a review of reserves as part of the budget process, the Property PFI reserve has now been closed and transferred to the general reserve</w:t>
      </w:r>
      <w:r w:rsidR="00D663D9">
        <w:rPr>
          <w:sz w:val="24"/>
        </w:rPr>
        <w:t xml:space="preserve">. </w:t>
      </w:r>
      <w:r w:rsidR="00FB42D2">
        <w:rPr>
          <w:sz w:val="24"/>
        </w:rPr>
        <w:t>This</w:t>
      </w:r>
      <w:r w:rsidR="00DC58A5" w:rsidRPr="006B1F91">
        <w:rPr>
          <w:sz w:val="24"/>
        </w:rPr>
        <w:t xml:space="preserve"> leave</w:t>
      </w:r>
      <w:r w:rsidR="00FB42D2">
        <w:rPr>
          <w:sz w:val="24"/>
        </w:rPr>
        <w:t>s</w:t>
      </w:r>
      <w:r w:rsidR="00DC58A5" w:rsidRPr="006B1F91">
        <w:rPr>
          <w:sz w:val="24"/>
        </w:rPr>
        <w:t xml:space="preserve"> a balance on the genera</w:t>
      </w:r>
      <w:r w:rsidR="00485893" w:rsidRPr="006B1F91">
        <w:rPr>
          <w:sz w:val="24"/>
        </w:rPr>
        <w:t xml:space="preserve">l reserve at the year end of </w:t>
      </w:r>
      <w:r w:rsidR="00485893" w:rsidRPr="002B36B2">
        <w:rPr>
          <w:sz w:val="24"/>
        </w:rPr>
        <w:t>£</w:t>
      </w:r>
      <w:r w:rsidR="004321FC" w:rsidRPr="002B36B2">
        <w:rPr>
          <w:sz w:val="24"/>
        </w:rPr>
        <w:t>1</w:t>
      </w:r>
      <w:r w:rsidR="002B36B2" w:rsidRPr="002B36B2">
        <w:rPr>
          <w:sz w:val="24"/>
        </w:rPr>
        <w:t>5,</w:t>
      </w:r>
      <w:r w:rsidR="008F75CC">
        <w:rPr>
          <w:sz w:val="24"/>
        </w:rPr>
        <w:t>12</w:t>
      </w:r>
      <w:r w:rsidR="00D92E41">
        <w:rPr>
          <w:sz w:val="24"/>
        </w:rPr>
        <w:t>0</w:t>
      </w:r>
      <w:r w:rsidR="00D92E41" w:rsidRPr="002B36B2">
        <w:rPr>
          <w:sz w:val="24"/>
        </w:rPr>
        <w:t>k</w:t>
      </w:r>
      <w:r w:rsidR="00B80392" w:rsidRPr="002B36B2">
        <w:rPr>
          <w:sz w:val="24"/>
        </w:rPr>
        <w:t>,</w:t>
      </w:r>
      <w:r w:rsidR="00B80392" w:rsidRPr="006B1F91">
        <w:rPr>
          <w:sz w:val="24"/>
        </w:rPr>
        <w:t xml:space="preserve"> </w:t>
      </w:r>
      <w:r w:rsidR="003466D0" w:rsidRPr="006B1F91">
        <w:rPr>
          <w:sz w:val="24"/>
        </w:rPr>
        <w:t xml:space="preserve">this is </w:t>
      </w:r>
      <w:r w:rsidR="002B36B2">
        <w:rPr>
          <w:sz w:val="24"/>
        </w:rPr>
        <w:t>£1,</w:t>
      </w:r>
      <w:r w:rsidR="008F75CC">
        <w:rPr>
          <w:sz w:val="24"/>
        </w:rPr>
        <w:t>36</w:t>
      </w:r>
      <w:r w:rsidR="00C65FF7">
        <w:rPr>
          <w:sz w:val="24"/>
        </w:rPr>
        <w:t>4</w:t>
      </w:r>
      <w:r w:rsidR="002B36B2">
        <w:rPr>
          <w:sz w:val="24"/>
        </w:rPr>
        <w:t>k</w:t>
      </w:r>
      <w:r w:rsidR="00D663D9">
        <w:rPr>
          <w:sz w:val="24"/>
        </w:rPr>
        <w:t xml:space="preserve"> above the</w:t>
      </w:r>
      <w:r w:rsidR="008F75CC">
        <w:rPr>
          <w:sz w:val="24"/>
        </w:rPr>
        <w:t xml:space="preserve"> </w:t>
      </w:r>
      <w:r w:rsidR="00DC58A5" w:rsidRPr="006B1F91">
        <w:rPr>
          <w:sz w:val="24"/>
        </w:rPr>
        <w:t xml:space="preserve">stated minimum level </w:t>
      </w:r>
      <w:r w:rsidR="00D663D9">
        <w:rPr>
          <w:sz w:val="24"/>
        </w:rPr>
        <w:t xml:space="preserve">of £13,756k </w:t>
      </w:r>
      <w:r w:rsidR="00DC58A5" w:rsidRPr="006B1F91">
        <w:rPr>
          <w:sz w:val="24"/>
        </w:rPr>
        <w:t xml:space="preserve">which is 3.5% of the net revenue expenditure budget. </w:t>
      </w:r>
    </w:p>
    <w:p w:rsidR="00B80392" w:rsidRPr="006B1F91" w:rsidRDefault="00B80392" w:rsidP="002502DD">
      <w:pPr>
        <w:pStyle w:val="ListParagraph"/>
        <w:ind w:left="567" w:hanging="567"/>
        <w:rPr>
          <w:sz w:val="24"/>
        </w:rPr>
      </w:pPr>
    </w:p>
    <w:p w:rsidR="00370555" w:rsidRPr="006B1F91" w:rsidRDefault="00DC58A5" w:rsidP="00C65FF7">
      <w:pPr>
        <w:pStyle w:val="ListParagraph"/>
        <w:numPr>
          <w:ilvl w:val="0"/>
          <w:numId w:val="160"/>
        </w:numPr>
        <w:ind w:left="567" w:hanging="567"/>
        <w:rPr>
          <w:sz w:val="24"/>
        </w:rPr>
      </w:pPr>
      <w:r w:rsidRPr="006B1F91">
        <w:rPr>
          <w:sz w:val="24"/>
        </w:rPr>
        <w:t>Th</w:t>
      </w:r>
      <w:r w:rsidR="00643D73" w:rsidRPr="006B1F91">
        <w:rPr>
          <w:sz w:val="24"/>
        </w:rPr>
        <w:t xml:space="preserve">e Budget </w:t>
      </w:r>
      <w:r w:rsidR="003E087F" w:rsidRPr="006B1F91">
        <w:rPr>
          <w:sz w:val="24"/>
        </w:rPr>
        <w:t>Flexibility</w:t>
      </w:r>
      <w:r w:rsidR="00643D73" w:rsidRPr="006B1F91">
        <w:rPr>
          <w:sz w:val="24"/>
        </w:rPr>
        <w:t xml:space="preserve"> reserve </w:t>
      </w:r>
      <w:r w:rsidR="00D326CD" w:rsidRPr="006B1F91">
        <w:rPr>
          <w:sz w:val="24"/>
        </w:rPr>
        <w:t>was</w:t>
      </w:r>
      <w:r w:rsidR="00643D73" w:rsidRPr="006B1F91">
        <w:rPr>
          <w:sz w:val="24"/>
        </w:rPr>
        <w:t xml:space="preserve"> set</w:t>
      </w:r>
      <w:r w:rsidR="00D326CD" w:rsidRPr="006B1F91">
        <w:rPr>
          <w:sz w:val="24"/>
        </w:rPr>
        <w:t xml:space="preserve"> up</w:t>
      </w:r>
      <w:r w:rsidR="00643D73" w:rsidRPr="006B1F91">
        <w:rPr>
          <w:sz w:val="24"/>
        </w:rPr>
        <w:t xml:space="preserve"> </w:t>
      </w:r>
      <w:r w:rsidR="00D326CD" w:rsidRPr="006B1F91">
        <w:rPr>
          <w:sz w:val="24"/>
        </w:rPr>
        <w:t xml:space="preserve">in the 2017/18 Budget (FEP2708) report with funds of £6.2m, </w:t>
      </w:r>
      <w:r w:rsidR="00643D73" w:rsidRPr="006B1F91">
        <w:rPr>
          <w:sz w:val="24"/>
        </w:rPr>
        <w:t>to help mitigate the budget deficit anticipated over the next four years. Th</w:t>
      </w:r>
      <w:r w:rsidR="00C241DE">
        <w:rPr>
          <w:sz w:val="24"/>
        </w:rPr>
        <w:t>is</w:t>
      </w:r>
      <w:r w:rsidR="00643D73" w:rsidRPr="006B1F91">
        <w:rPr>
          <w:sz w:val="24"/>
        </w:rPr>
        <w:t xml:space="preserve"> </w:t>
      </w:r>
      <w:r w:rsidR="00D326CD" w:rsidRPr="006B1F91">
        <w:rPr>
          <w:sz w:val="24"/>
        </w:rPr>
        <w:t>reserve</w:t>
      </w:r>
      <w:r w:rsidR="00C241DE">
        <w:rPr>
          <w:sz w:val="24"/>
        </w:rPr>
        <w:t xml:space="preserve"> also includes</w:t>
      </w:r>
      <w:r w:rsidRPr="006B1F91">
        <w:rPr>
          <w:sz w:val="24"/>
        </w:rPr>
        <w:t xml:space="preserve"> </w:t>
      </w:r>
      <w:r w:rsidR="00C241DE">
        <w:rPr>
          <w:sz w:val="24"/>
        </w:rPr>
        <w:t xml:space="preserve">the approved transfer of </w:t>
      </w:r>
      <w:r w:rsidR="00D326CD" w:rsidRPr="006B1F91">
        <w:rPr>
          <w:sz w:val="24"/>
        </w:rPr>
        <w:t>an additional £</w:t>
      </w:r>
      <w:r w:rsidR="002B36B2">
        <w:rPr>
          <w:sz w:val="24"/>
        </w:rPr>
        <w:t>5</w:t>
      </w:r>
      <w:r w:rsidR="00FB42D2">
        <w:rPr>
          <w:sz w:val="24"/>
        </w:rPr>
        <w:t>.</w:t>
      </w:r>
      <w:r w:rsidR="002B36B2">
        <w:rPr>
          <w:sz w:val="24"/>
        </w:rPr>
        <w:t>3</w:t>
      </w:r>
      <w:r w:rsidR="003B79C7" w:rsidRPr="006B1F91">
        <w:rPr>
          <w:sz w:val="24"/>
        </w:rPr>
        <w:t xml:space="preserve">m </w:t>
      </w:r>
      <w:r w:rsidRPr="006B1F91">
        <w:rPr>
          <w:sz w:val="24"/>
        </w:rPr>
        <w:t>from the general reserve to the Budget Flexibility reserve</w:t>
      </w:r>
      <w:r w:rsidR="00C241DE">
        <w:rPr>
          <w:sz w:val="24"/>
        </w:rPr>
        <w:t xml:space="preserve"> (FEP 2792)</w:t>
      </w:r>
      <w:r w:rsidR="002B36B2">
        <w:rPr>
          <w:sz w:val="24"/>
        </w:rPr>
        <w:t>.</w:t>
      </w:r>
      <w:r w:rsidRPr="006B1F91">
        <w:rPr>
          <w:sz w:val="24"/>
        </w:rPr>
        <w:t xml:space="preserve"> </w:t>
      </w:r>
    </w:p>
    <w:p w:rsidR="00262CBF" w:rsidRDefault="00262CBF">
      <w:pPr>
        <w:spacing w:after="0" w:line="240" w:lineRule="auto"/>
        <w:rPr>
          <w:b/>
          <w:sz w:val="24"/>
          <w:lang w:eastAsia="en-GB"/>
        </w:rPr>
      </w:pPr>
      <w:r>
        <w:rPr>
          <w:b/>
          <w:sz w:val="24"/>
          <w:lang w:eastAsia="en-GB"/>
        </w:rPr>
        <w:br w:type="page"/>
      </w:r>
    </w:p>
    <w:p w:rsidR="00171413" w:rsidRDefault="00171413">
      <w:pPr>
        <w:spacing w:after="0" w:line="240" w:lineRule="auto"/>
        <w:rPr>
          <w:b/>
          <w:sz w:val="24"/>
          <w:lang w:eastAsia="en-GB"/>
        </w:rPr>
      </w:pPr>
    </w:p>
    <w:p w:rsidR="00897A17" w:rsidRPr="0086630D" w:rsidRDefault="00ED2DD7" w:rsidP="00A76FB2">
      <w:pPr>
        <w:spacing w:after="0" w:line="240" w:lineRule="auto"/>
        <w:rPr>
          <w:b/>
          <w:sz w:val="24"/>
          <w:lang w:eastAsia="en-GB"/>
        </w:rPr>
      </w:pPr>
      <w:r>
        <w:rPr>
          <w:b/>
          <w:sz w:val="24"/>
          <w:lang w:eastAsia="en-GB"/>
        </w:rPr>
        <w:t xml:space="preserve">Table </w:t>
      </w:r>
      <w:r w:rsidR="00D41CDC">
        <w:rPr>
          <w:b/>
          <w:sz w:val="24"/>
          <w:lang w:eastAsia="en-GB"/>
        </w:rPr>
        <w:t>2</w:t>
      </w:r>
      <w:r w:rsidR="00897A17" w:rsidRPr="00836210">
        <w:rPr>
          <w:b/>
          <w:sz w:val="24"/>
          <w:lang w:eastAsia="en-GB"/>
        </w:rPr>
        <w:t xml:space="preserve">. </w:t>
      </w:r>
      <w:r w:rsidR="000030EA" w:rsidRPr="00836210">
        <w:rPr>
          <w:b/>
          <w:sz w:val="24"/>
          <w:lang w:eastAsia="en-GB"/>
        </w:rPr>
        <w:t>LFEPA Reserves for the 201</w:t>
      </w:r>
      <w:r w:rsidR="004522E0">
        <w:rPr>
          <w:b/>
          <w:sz w:val="24"/>
          <w:lang w:eastAsia="en-GB"/>
        </w:rPr>
        <w:t>7</w:t>
      </w:r>
      <w:r w:rsidR="000030EA" w:rsidRPr="00836210">
        <w:rPr>
          <w:b/>
          <w:sz w:val="24"/>
          <w:lang w:eastAsia="en-GB"/>
        </w:rPr>
        <w:t>/1</w:t>
      </w:r>
      <w:r w:rsidR="004522E0">
        <w:rPr>
          <w:b/>
          <w:sz w:val="24"/>
          <w:lang w:eastAsia="en-GB"/>
        </w:rPr>
        <w:t>8</w:t>
      </w:r>
      <w:r w:rsidR="000030EA" w:rsidRPr="00836210">
        <w:rPr>
          <w:b/>
          <w:sz w:val="24"/>
          <w:lang w:eastAsia="en-GB"/>
        </w:rPr>
        <w:t xml:space="preserve"> Financial Year</w:t>
      </w:r>
    </w:p>
    <w:tbl>
      <w:tblPr>
        <w:tblW w:w="10967" w:type="dxa"/>
        <w:tblLayout w:type="fixed"/>
        <w:tblLook w:val="04A0" w:firstRow="1" w:lastRow="0" w:firstColumn="1" w:lastColumn="0" w:noHBand="0" w:noVBand="1"/>
      </w:tblPr>
      <w:tblGrid>
        <w:gridCol w:w="2802"/>
        <w:gridCol w:w="1360"/>
        <w:gridCol w:w="1361"/>
        <w:gridCol w:w="1361"/>
        <w:gridCol w:w="1361"/>
        <w:gridCol w:w="1361"/>
        <w:gridCol w:w="1361"/>
      </w:tblGrid>
      <w:tr w:rsidR="00FE161C" w:rsidRPr="00F54426" w:rsidTr="00FE161C">
        <w:trPr>
          <w:trHeight w:val="765"/>
          <w:tblHeader/>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61C" w:rsidRPr="00F54426" w:rsidRDefault="00FE161C" w:rsidP="004A699A">
            <w:pPr>
              <w:spacing w:before="30" w:after="30" w:line="240" w:lineRule="auto"/>
              <w:jc w:val="center"/>
              <w:rPr>
                <w:sz w:val="20"/>
                <w:szCs w:val="20"/>
                <w:lang w:eastAsia="en-GB"/>
              </w:rPr>
            </w:pPr>
            <w:r w:rsidRPr="00F54426">
              <w:rPr>
                <w:sz w:val="20"/>
                <w:szCs w:val="20"/>
                <w:lang w:eastAsia="en-GB"/>
              </w:rPr>
              <w:t>£000s</w:t>
            </w:r>
          </w:p>
        </w:tc>
        <w:tc>
          <w:tcPr>
            <w:tcW w:w="1360" w:type="dxa"/>
            <w:tcBorders>
              <w:top w:val="single" w:sz="4" w:space="0" w:color="auto"/>
              <w:left w:val="nil"/>
              <w:bottom w:val="single" w:sz="4" w:space="0" w:color="auto"/>
              <w:right w:val="single" w:sz="4" w:space="0" w:color="auto"/>
            </w:tcBorders>
            <w:shd w:val="clear" w:color="000000" w:fill="C0C0C0"/>
            <w:vAlign w:val="bottom"/>
            <w:hideMark/>
          </w:tcPr>
          <w:p w:rsidR="00FE161C" w:rsidRPr="00F54426" w:rsidRDefault="00FE161C" w:rsidP="004A699A">
            <w:pPr>
              <w:spacing w:before="30" w:after="30" w:line="240" w:lineRule="auto"/>
              <w:jc w:val="center"/>
              <w:rPr>
                <w:b/>
                <w:bCs/>
                <w:sz w:val="20"/>
                <w:szCs w:val="20"/>
                <w:lang w:eastAsia="en-GB"/>
              </w:rPr>
            </w:pPr>
            <w:r>
              <w:rPr>
                <w:b/>
                <w:bCs/>
                <w:sz w:val="20"/>
                <w:szCs w:val="20"/>
                <w:lang w:eastAsia="en-GB"/>
              </w:rPr>
              <w:t>Opening Balance at 01/04/17</w:t>
            </w:r>
          </w:p>
        </w:tc>
        <w:tc>
          <w:tcPr>
            <w:tcW w:w="1361" w:type="dxa"/>
            <w:tcBorders>
              <w:top w:val="single" w:sz="4" w:space="0" w:color="auto"/>
              <w:left w:val="nil"/>
              <w:bottom w:val="single" w:sz="4" w:space="0" w:color="auto"/>
              <w:right w:val="single" w:sz="4" w:space="0" w:color="auto"/>
            </w:tcBorders>
            <w:vAlign w:val="bottom"/>
          </w:tcPr>
          <w:p w:rsidR="00FE161C" w:rsidRPr="00F54426" w:rsidRDefault="00FE161C" w:rsidP="00B26BCA">
            <w:pPr>
              <w:spacing w:before="30" w:after="30" w:line="240" w:lineRule="auto"/>
              <w:jc w:val="center"/>
              <w:rPr>
                <w:sz w:val="20"/>
                <w:szCs w:val="20"/>
                <w:lang w:eastAsia="en-GB"/>
              </w:rPr>
            </w:pPr>
            <w:r>
              <w:rPr>
                <w:sz w:val="20"/>
                <w:szCs w:val="20"/>
                <w:lang w:eastAsia="en-GB"/>
              </w:rPr>
              <w:t>Approved Movements</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161C" w:rsidRPr="00F54426" w:rsidRDefault="00FE161C" w:rsidP="00B26BCA">
            <w:pPr>
              <w:spacing w:before="30" w:after="30" w:line="240" w:lineRule="auto"/>
              <w:jc w:val="center"/>
              <w:rPr>
                <w:sz w:val="20"/>
                <w:szCs w:val="20"/>
                <w:lang w:eastAsia="en-GB"/>
              </w:rPr>
            </w:pPr>
            <w:r w:rsidRPr="00F54426">
              <w:rPr>
                <w:sz w:val="20"/>
                <w:szCs w:val="20"/>
                <w:lang w:eastAsia="en-GB"/>
              </w:rPr>
              <w:t>Underspend/ (Overspend) in 201</w:t>
            </w:r>
            <w:r>
              <w:rPr>
                <w:sz w:val="20"/>
                <w:szCs w:val="20"/>
                <w:lang w:eastAsia="en-GB"/>
              </w:rPr>
              <w:t>7</w:t>
            </w:r>
            <w:r w:rsidRPr="00F54426">
              <w:rPr>
                <w:sz w:val="20"/>
                <w:szCs w:val="20"/>
                <w:lang w:eastAsia="en-GB"/>
              </w:rPr>
              <w:t>/1</w:t>
            </w:r>
            <w:r>
              <w:rPr>
                <w:sz w:val="20"/>
                <w:szCs w:val="20"/>
                <w:lang w:eastAsia="en-GB"/>
              </w:rPr>
              <w:t>8</w:t>
            </w:r>
          </w:p>
        </w:tc>
        <w:tc>
          <w:tcPr>
            <w:tcW w:w="1361" w:type="dxa"/>
            <w:tcBorders>
              <w:top w:val="single" w:sz="4" w:space="0" w:color="auto"/>
              <w:left w:val="nil"/>
              <w:bottom w:val="single" w:sz="4" w:space="0" w:color="auto"/>
              <w:right w:val="single" w:sz="4" w:space="0" w:color="auto"/>
            </w:tcBorders>
            <w:vAlign w:val="bottom"/>
          </w:tcPr>
          <w:p w:rsidR="00FE161C" w:rsidRDefault="00FE161C" w:rsidP="00B26BCA">
            <w:pPr>
              <w:spacing w:before="30" w:after="30" w:line="240" w:lineRule="auto"/>
              <w:jc w:val="center"/>
              <w:rPr>
                <w:sz w:val="20"/>
                <w:szCs w:val="20"/>
                <w:lang w:eastAsia="en-GB"/>
              </w:rPr>
            </w:pPr>
            <w:r>
              <w:rPr>
                <w:sz w:val="20"/>
                <w:szCs w:val="20"/>
                <w:lang w:eastAsia="en-GB"/>
              </w:rPr>
              <w:t>Use of Reserves in 2017</w:t>
            </w:r>
            <w:r w:rsidRPr="00F54426">
              <w:rPr>
                <w:sz w:val="20"/>
                <w:szCs w:val="20"/>
                <w:lang w:eastAsia="en-GB"/>
              </w:rPr>
              <w:t>/1</w:t>
            </w:r>
            <w:r>
              <w:rPr>
                <w:sz w:val="20"/>
                <w:szCs w:val="20"/>
                <w:lang w:eastAsia="en-GB"/>
              </w:rPr>
              <w:t>8</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161C" w:rsidRPr="00F54426" w:rsidRDefault="00FE161C" w:rsidP="00FE161C">
            <w:pPr>
              <w:spacing w:after="100" w:afterAutospacing="1"/>
              <w:jc w:val="center"/>
              <w:rPr>
                <w:sz w:val="20"/>
                <w:szCs w:val="20"/>
              </w:rPr>
            </w:pPr>
            <w:r>
              <w:rPr>
                <w:sz w:val="20"/>
                <w:szCs w:val="20"/>
              </w:rPr>
              <w:t>New Payments/ Transfers</w:t>
            </w:r>
          </w:p>
        </w:tc>
        <w:tc>
          <w:tcPr>
            <w:tcW w:w="1361"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FE161C" w:rsidRPr="00F54426" w:rsidRDefault="00FE161C" w:rsidP="004A699A">
            <w:pPr>
              <w:spacing w:before="30" w:after="30" w:line="240" w:lineRule="auto"/>
              <w:jc w:val="center"/>
              <w:rPr>
                <w:b/>
                <w:bCs/>
                <w:sz w:val="20"/>
                <w:szCs w:val="20"/>
                <w:lang w:eastAsia="en-GB"/>
              </w:rPr>
            </w:pPr>
            <w:r w:rsidRPr="00F54426">
              <w:rPr>
                <w:b/>
                <w:bCs/>
                <w:sz w:val="20"/>
                <w:szCs w:val="20"/>
                <w:lang w:eastAsia="en-GB"/>
              </w:rPr>
              <w:t>Anticipated B</w:t>
            </w:r>
            <w:r>
              <w:rPr>
                <w:b/>
                <w:bCs/>
                <w:sz w:val="20"/>
                <w:szCs w:val="20"/>
                <w:lang w:eastAsia="en-GB"/>
              </w:rPr>
              <w:t>alance at 31/03/18</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B34C41">
            <w:pPr>
              <w:spacing w:before="30" w:after="30" w:line="240" w:lineRule="auto"/>
              <w:rPr>
                <w:sz w:val="20"/>
                <w:szCs w:val="20"/>
                <w:lang w:eastAsia="en-GB"/>
              </w:rPr>
            </w:pPr>
            <w:r>
              <w:rPr>
                <w:sz w:val="20"/>
                <w:szCs w:val="20"/>
              </w:rPr>
              <w:t>Additional Resilience Requirements</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B34C41">
            <w:pPr>
              <w:spacing w:before="30" w:after="30" w:line="240" w:lineRule="auto"/>
              <w:jc w:val="right"/>
              <w:rPr>
                <w:b/>
                <w:bCs/>
                <w:sz w:val="20"/>
                <w:szCs w:val="20"/>
                <w:highlight w:val="yellow"/>
                <w:lang w:eastAsia="en-GB"/>
              </w:rPr>
            </w:pPr>
            <w:r>
              <w:rPr>
                <w:b/>
                <w:bCs/>
                <w:sz w:val="20"/>
                <w:szCs w:val="20"/>
              </w:rPr>
              <w:t>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B34C41">
            <w:pPr>
              <w:spacing w:before="30" w:after="30" w:line="240" w:lineRule="auto"/>
              <w:jc w:val="right"/>
              <w:rPr>
                <w:sz w:val="20"/>
                <w:szCs w:val="20"/>
                <w:highlight w:val="yellow"/>
              </w:rPr>
            </w:pPr>
            <w:r>
              <w:rPr>
                <w:sz w:val="20"/>
                <w:szCs w:val="20"/>
              </w:rPr>
              <w:t>6,757</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B34C41">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B34C41">
            <w:pPr>
              <w:spacing w:before="30" w:after="30" w:line="240" w:lineRule="auto"/>
              <w:jc w:val="right"/>
              <w:rPr>
                <w:sz w:val="20"/>
                <w:szCs w:val="20"/>
                <w:highlight w:val="yellow"/>
              </w:rPr>
            </w:pPr>
            <w:r>
              <w:rPr>
                <w:sz w:val="20"/>
                <w:szCs w:val="20"/>
              </w:rPr>
              <w:t>(2,396)</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B34C41">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B34C41">
            <w:pPr>
              <w:spacing w:before="30" w:after="30" w:line="240" w:lineRule="auto"/>
              <w:jc w:val="right"/>
              <w:rPr>
                <w:b/>
                <w:bCs/>
                <w:sz w:val="20"/>
                <w:szCs w:val="20"/>
                <w:highlight w:val="yellow"/>
                <w:lang w:eastAsia="en-GB"/>
              </w:rPr>
            </w:pPr>
            <w:r>
              <w:rPr>
                <w:b/>
                <w:bCs/>
                <w:sz w:val="20"/>
                <w:szCs w:val="20"/>
              </w:rPr>
              <w:t>4,361</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9F6009">
            <w:pPr>
              <w:spacing w:before="30" w:after="30" w:line="240" w:lineRule="auto"/>
              <w:rPr>
                <w:sz w:val="20"/>
                <w:szCs w:val="20"/>
                <w:lang w:eastAsia="en-GB"/>
              </w:rPr>
            </w:pPr>
            <w:r>
              <w:rPr>
                <w:sz w:val="20"/>
                <w:szCs w:val="20"/>
              </w:rPr>
              <w:t xml:space="preserve">Community Safety Investment Fund </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9F6009">
            <w:pPr>
              <w:spacing w:before="30" w:after="30" w:line="240" w:lineRule="auto"/>
              <w:jc w:val="right"/>
              <w:rPr>
                <w:b/>
                <w:bCs/>
                <w:sz w:val="20"/>
                <w:szCs w:val="20"/>
                <w:highlight w:val="yellow"/>
                <w:lang w:eastAsia="en-GB"/>
              </w:rPr>
            </w:pPr>
            <w:r>
              <w:rPr>
                <w:b/>
                <w:bCs/>
                <w:sz w:val="20"/>
                <w:szCs w:val="20"/>
              </w:rPr>
              <w:t>602</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464950">
            <w:pPr>
              <w:spacing w:before="30" w:after="30" w:line="240" w:lineRule="auto"/>
              <w:jc w:val="right"/>
              <w:rPr>
                <w:sz w:val="20"/>
                <w:szCs w:val="20"/>
                <w:highlight w:val="yellow"/>
              </w:rPr>
            </w:pPr>
            <w:r>
              <w:rPr>
                <w:sz w:val="20"/>
                <w:szCs w:val="20"/>
              </w:rPr>
              <w:t>(602)</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464950">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0</w:t>
            </w:r>
          </w:p>
        </w:tc>
      </w:tr>
      <w:tr w:rsidR="00C27DFE" w:rsidRPr="00F54426" w:rsidTr="006B1F91">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686809" w:rsidRDefault="00C27DFE" w:rsidP="009F6009">
            <w:pPr>
              <w:spacing w:before="30" w:after="30" w:line="240" w:lineRule="auto"/>
              <w:rPr>
                <w:sz w:val="20"/>
                <w:szCs w:val="20"/>
                <w:lang w:eastAsia="en-GB"/>
              </w:rPr>
            </w:pPr>
            <w:r w:rsidRPr="00686809">
              <w:rPr>
                <w:sz w:val="20"/>
                <w:szCs w:val="20"/>
              </w:rPr>
              <w:t>Compensation</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9F6009">
            <w:pPr>
              <w:spacing w:before="30" w:after="30" w:line="240" w:lineRule="auto"/>
              <w:jc w:val="right"/>
              <w:rPr>
                <w:b/>
                <w:bCs/>
                <w:sz w:val="20"/>
                <w:szCs w:val="20"/>
                <w:highlight w:val="yellow"/>
                <w:lang w:eastAsia="en-GB"/>
              </w:rPr>
            </w:pPr>
            <w:r>
              <w:rPr>
                <w:b/>
                <w:bCs/>
                <w:sz w:val="20"/>
                <w:szCs w:val="20"/>
              </w:rPr>
              <w:t>1,000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686809">
            <w:pPr>
              <w:spacing w:before="30" w:after="30" w:line="240" w:lineRule="auto"/>
              <w:jc w:val="right"/>
              <w:rPr>
                <w:b/>
                <w:bCs/>
                <w:sz w:val="20"/>
                <w:szCs w:val="20"/>
                <w:highlight w:val="yellow"/>
                <w:lang w:eastAsia="en-GB"/>
              </w:rPr>
            </w:pPr>
            <w:r>
              <w:rPr>
                <w:b/>
                <w:bCs/>
                <w:sz w:val="20"/>
                <w:szCs w:val="20"/>
              </w:rPr>
              <w:t>1,000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A52FBF">
            <w:pPr>
              <w:spacing w:before="30" w:after="30" w:line="240" w:lineRule="auto"/>
              <w:rPr>
                <w:sz w:val="20"/>
                <w:szCs w:val="20"/>
                <w:lang w:eastAsia="en-GB"/>
              </w:rPr>
            </w:pPr>
            <w:r>
              <w:rPr>
                <w:sz w:val="20"/>
                <w:szCs w:val="20"/>
              </w:rPr>
              <w:t>Emergency Services Mobile Communication Programme</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A52FBF">
            <w:pPr>
              <w:spacing w:before="30" w:after="30" w:line="240" w:lineRule="auto"/>
              <w:jc w:val="right"/>
              <w:rPr>
                <w:b/>
                <w:bCs/>
                <w:sz w:val="20"/>
                <w:szCs w:val="20"/>
                <w:highlight w:val="yellow"/>
                <w:lang w:eastAsia="en-GB"/>
              </w:rPr>
            </w:pPr>
            <w:r>
              <w:rPr>
                <w:b/>
                <w:bCs/>
                <w:sz w:val="20"/>
                <w:szCs w:val="20"/>
              </w:rPr>
              <w:t>356</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A52FBF">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A52FBF">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A52FBF">
            <w:pPr>
              <w:spacing w:before="30" w:after="30" w:line="240" w:lineRule="auto"/>
              <w:jc w:val="right"/>
              <w:rPr>
                <w:sz w:val="20"/>
                <w:szCs w:val="20"/>
                <w:highlight w:val="yellow"/>
              </w:rPr>
            </w:pPr>
            <w:r>
              <w:rPr>
                <w:sz w:val="20"/>
                <w:szCs w:val="20"/>
              </w:rPr>
              <w:t>(200)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A52FBF">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A52FBF">
            <w:pPr>
              <w:spacing w:before="30" w:after="30" w:line="240" w:lineRule="auto"/>
              <w:jc w:val="right"/>
              <w:rPr>
                <w:b/>
                <w:bCs/>
                <w:sz w:val="20"/>
                <w:szCs w:val="20"/>
                <w:highlight w:val="yellow"/>
                <w:lang w:eastAsia="en-GB"/>
              </w:rPr>
            </w:pPr>
            <w:r>
              <w:rPr>
                <w:b/>
                <w:bCs/>
                <w:sz w:val="20"/>
                <w:szCs w:val="20"/>
              </w:rPr>
              <w:t>155</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9F6009">
            <w:pPr>
              <w:spacing w:before="30" w:after="30" w:line="240" w:lineRule="auto"/>
              <w:rPr>
                <w:sz w:val="20"/>
                <w:szCs w:val="20"/>
                <w:lang w:eastAsia="en-GB"/>
              </w:rPr>
            </w:pPr>
            <w:r>
              <w:rPr>
                <w:sz w:val="20"/>
                <w:szCs w:val="20"/>
              </w:rPr>
              <w:t>Emergency Medical Response</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9F6009">
            <w:pPr>
              <w:spacing w:before="30" w:after="30" w:line="240" w:lineRule="auto"/>
              <w:jc w:val="right"/>
              <w:rPr>
                <w:b/>
                <w:bCs/>
                <w:sz w:val="20"/>
                <w:szCs w:val="20"/>
                <w:highlight w:val="yellow"/>
                <w:lang w:eastAsia="en-GB"/>
              </w:rPr>
            </w:pPr>
            <w:r>
              <w:rPr>
                <w:b/>
                <w:bCs/>
                <w:sz w:val="20"/>
                <w:szCs w:val="20"/>
              </w:rPr>
              <w:t>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sz w:val="20"/>
                <w:szCs w:val="20"/>
              </w:rPr>
              <w:t>830</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830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9F6009">
            <w:pPr>
              <w:spacing w:before="30" w:after="30" w:line="240" w:lineRule="auto"/>
              <w:rPr>
                <w:sz w:val="20"/>
                <w:szCs w:val="20"/>
                <w:lang w:eastAsia="en-GB"/>
              </w:rPr>
            </w:pPr>
            <w:r>
              <w:rPr>
                <w:sz w:val="20"/>
                <w:szCs w:val="20"/>
              </w:rPr>
              <w:t>Firefighters' Pension</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9F6009">
            <w:pPr>
              <w:spacing w:before="30" w:after="30" w:line="240" w:lineRule="auto"/>
              <w:jc w:val="right"/>
              <w:rPr>
                <w:b/>
                <w:bCs/>
                <w:sz w:val="20"/>
                <w:szCs w:val="20"/>
                <w:highlight w:val="yellow"/>
                <w:lang w:eastAsia="en-GB"/>
              </w:rPr>
            </w:pPr>
            <w:r>
              <w:rPr>
                <w:b/>
                <w:bCs/>
                <w:sz w:val="20"/>
                <w:szCs w:val="20"/>
              </w:rPr>
              <w:t>1,172</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1,172</w:t>
            </w:r>
          </w:p>
        </w:tc>
      </w:tr>
      <w:tr w:rsidR="00C27DFE" w:rsidRPr="00F54426" w:rsidTr="00FE161C">
        <w:trPr>
          <w:trHeight w:val="77"/>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EF6642">
            <w:pPr>
              <w:spacing w:before="30" w:after="30" w:line="240" w:lineRule="auto"/>
              <w:rPr>
                <w:sz w:val="20"/>
                <w:szCs w:val="20"/>
                <w:lang w:eastAsia="en-GB"/>
              </w:rPr>
            </w:pPr>
            <w:r>
              <w:rPr>
                <w:sz w:val="20"/>
                <w:szCs w:val="20"/>
              </w:rPr>
              <w:t>Fire</w:t>
            </w:r>
            <w:r w:rsidRPr="007F4DBE">
              <w:rPr>
                <w:sz w:val="20"/>
                <w:szCs w:val="20"/>
              </w:rPr>
              <w:t xml:space="preserve"> Safety and Youth Engagement</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EF6642">
            <w:pPr>
              <w:spacing w:before="30" w:after="30" w:line="240" w:lineRule="auto"/>
              <w:jc w:val="right"/>
              <w:rPr>
                <w:b/>
                <w:bCs/>
                <w:sz w:val="20"/>
                <w:szCs w:val="20"/>
                <w:highlight w:val="yellow"/>
                <w:lang w:eastAsia="en-GB"/>
              </w:rPr>
            </w:pPr>
            <w:r>
              <w:rPr>
                <w:b/>
                <w:bCs/>
                <w:sz w:val="20"/>
                <w:szCs w:val="20"/>
              </w:rPr>
              <w:t>338</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EF6642">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EF6642">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EF6642">
            <w:pPr>
              <w:spacing w:before="30" w:after="30" w:line="240" w:lineRule="auto"/>
              <w:jc w:val="right"/>
              <w:rPr>
                <w:color w:val="FFFFFF"/>
                <w:sz w:val="20"/>
                <w:szCs w:val="20"/>
                <w:highlight w:val="yellow"/>
              </w:rPr>
            </w:pPr>
            <w:r>
              <w:rPr>
                <w:sz w:val="20"/>
                <w:szCs w:val="20"/>
              </w:rPr>
              <w:t>(20)</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EF6642">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EF6642">
            <w:pPr>
              <w:spacing w:before="30" w:after="30" w:line="240" w:lineRule="auto"/>
              <w:jc w:val="right"/>
              <w:rPr>
                <w:b/>
                <w:bCs/>
                <w:sz w:val="20"/>
                <w:szCs w:val="20"/>
                <w:highlight w:val="yellow"/>
                <w:lang w:eastAsia="en-GB"/>
              </w:rPr>
            </w:pPr>
            <w:r>
              <w:rPr>
                <w:b/>
                <w:bCs/>
                <w:sz w:val="20"/>
                <w:szCs w:val="20"/>
              </w:rPr>
              <w:t>318</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9F6009">
            <w:pPr>
              <w:spacing w:before="30" w:after="30" w:line="240" w:lineRule="auto"/>
              <w:rPr>
                <w:sz w:val="20"/>
                <w:szCs w:val="20"/>
                <w:lang w:eastAsia="en-GB"/>
              </w:rPr>
            </w:pPr>
            <w:r>
              <w:rPr>
                <w:sz w:val="20"/>
                <w:szCs w:val="20"/>
              </w:rPr>
              <w:t>Hazardous Material Protection</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9F6009">
            <w:pPr>
              <w:spacing w:before="30" w:after="30" w:line="240" w:lineRule="auto"/>
              <w:jc w:val="right"/>
              <w:rPr>
                <w:b/>
                <w:bCs/>
                <w:sz w:val="20"/>
                <w:szCs w:val="20"/>
                <w:highlight w:val="yellow"/>
                <w:lang w:eastAsia="en-GB"/>
              </w:rPr>
            </w:pPr>
            <w:r>
              <w:rPr>
                <w:b/>
                <w:bCs/>
                <w:sz w:val="20"/>
                <w:szCs w:val="20"/>
              </w:rPr>
              <w:t>203</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sz w:val="20"/>
                <w:szCs w:val="20"/>
              </w:rPr>
              <w:t>(203)</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4A699A">
            <w:pPr>
              <w:spacing w:before="30" w:after="30" w:line="240" w:lineRule="auto"/>
              <w:rPr>
                <w:sz w:val="20"/>
                <w:szCs w:val="20"/>
                <w:lang w:eastAsia="en-GB"/>
              </w:rPr>
            </w:pPr>
            <w:r>
              <w:rPr>
                <w:sz w:val="20"/>
                <w:szCs w:val="20"/>
              </w:rPr>
              <w:t>Hydrants</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462</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462</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4A699A">
            <w:pPr>
              <w:spacing w:before="30" w:after="30" w:line="240" w:lineRule="auto"/>
              <w:rPr>
                <w:sz w:val="20"/>
                <w:szCs w:val="20"/>
                <w:lang w:eastAsia="en-GB"/>
              </w:rPr>
            </w:pPr>
            <w:r>
              <w:rPr>
                <w:sz w:val="20"/>
                <w:szCs w:val="20"/>
              </w:rPr>
              <w:t>ICT Development Reserve</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668</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sz w:val="20"/>
                <w:szCs w:val="20"/>
              </w:rPr>
              <w:t>642</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1,310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4A699A">
            <w:pPr>
              <w:spacing w:before="30" w:after="30" w:line="240" w:lineRule="auto"/>
              <w:rPr>
                <w:sz w:val="20"/>
                <w:szCs w:val="20"/>
                <w:lang w:eastAsia="en-GB"/>
              </w:rPr>
            </w:pPr>
            <w:r>
              <w:rPr>
                <w:sz w:val="20"/>
                <w:szCs w:val="20"/>
              </w:rPr>
              <w:t>London Resilience</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1,281</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sz w:val="20"/>
                <w:szCs w:val="20"/>
              </w:rPr>
              <w:t>834</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2,115</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EE17E0">
            <w:pPr>
              <w:spacing w:before="30" w:after="30" w:line="240" w:lineRule="auto"/>
              <w:rPr>
                <w:sz w:val="20"/>
                <w:szCs w:val="20"/>
                <w:lang w:eastAsia="en-GB"/>
              </w:rPr>
            </w:pPr>
            <w:r>
              <w:rPr>
                <w:sz w:val="20"/>
                <w:szCs w:val="20"/>
              </w:rPr>
              <w:t>LSP2017 Implementation</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0564E4">
            <w:pPr>
              <w:spacing w:before="30" w:after="30" w:line="240" w:lineRule="auto"/>
              <w:jc w:val="right"/>
              <w:rPr>
                <w:b/>
                <w:bCs/>
                <w:sz w:val="20"/>
                <w:szCs w:val="20"/>
                <w:highlight w:val="yellow"/>
                <w:lang w:eastAsia="en-GB"/>
              </w:rPr>
            </w:pPr>
            <w:r>
              <w:rPr>
                <w:b/>
                <w:bCs/>
                <w:sz w:val="20"/>
                <w:szCs w:val="20"/>
              </w:rPr>
              <w:t>5,000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sz w:val="20"/>
                <w:szCs w:val="20"/>
              </w:rPr>
              <w:t>(439)</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C27DFE" w:rsidRPr="0098302A" w:rsidRDefault="00C27DFE" w:rsidP="003E3ADD">
            <w:pPr>
              <w:spacing w:before="30" w:after="30" w:line="240" w:lineRule="auto"/>
              <w:jc w:val="right"/>
              <w:rPr>
                <w:b/>
                <w:bCs/>
                <w:sz w:val="20"/>
                <w:szCs w:val="20"/>
                <w:highlight w:val="yellow"/>
              </w:rPr>
            </w:pPr>
            <w:r>
              <w:rPr>
                <w:b/>
                <w:bCs/>
                <w:sz w:val="20"/>
                <w:szCs w:val="20"/>
              </w:rPr>
              <w:t>4,561</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2050C1">
            <w:pPr>
              <w:spacing w:before="30" w:after="30" w:line="240" w:lineRule="auto"/>
              <w:rPr>
                <w:sz w:val="20"/>
                <w:szCs w:val="20"/>
                <w:lang w:eastAsia="en-GB"/>
              </w:rPr>
            </w:pPr>
            <w:r>
              <w:rPr>
                <w:sz w:val="20"/>
                <w:szCs w:val="20"/>
              </w:rPr>
              <w:t>New Governance Arrangements</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2050C1">
            <w:pPr>
              <w:spacing w:before="30" w:after="30" w:line="240" w:lineRule="auto"/>
              <w:jc w:val="right"/>
              <w:rPr>
                <w:b/>
                <w:bCs/>
                <w:sz w:val="20"/>
                <w:szCs w:val="20"/>
                <w:highlight w:val="yellow"/>
                <w:lang w:eastAsia="en-GB"/>
              </w:rPr>
            </w:pPr>
            <w:r>
              <w:rPr>
                <w:b/>
                <w:bCs/>
                <w:sz w:val="20"/>
                <w:szCs w:val="20"/>
              </w:rPr>
              <w:t>100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sz w:val="20"/>
                <w:szCs w:val="20"/>
                <w:highlight w:val="yellow"/>
              </w:rPr>
            </w:pPr>
            <w:r>
              <w:rPr>
                <w:sz w:val="20"/>
                <w:szCs w:val="20"/>
              </w:rPr>
              <w:t>200</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2050C1">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color w:val="FFFFFF"/>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2050C1">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2050C1">
            <w:pPr>
              <w:spacing w:before="30" w:after="30" w:line="240" w:lineRule="auto"/>
              <w:jc w:val="right"/>
              <w:rPr>
                <w:b/>
                <w:bCs/>
                <w:sz w:val="20"/>
                <w:szCs w:val="20"/>
                <w:highlight w:val="yellow"/>
                <w:lang w:eastAsia="en-GB"/>
              </w:rPr>
            </w:pPr>
            <w:r>
              <w:rPr>
                <w:b/>
                <w:bCs/>
                <w:sz w:val="20"/>
                <w:szCs w:val="20"/>
              </w:rPr>
              <w:t>300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4A699A">
            <w:pPr>
              <w:spacing w:before="30" w:after="30" w:line="240" w:lineRule="auto"/>
              <w:rPr>
                <w:sz w:val="20"/>
                <w:szCs w:val="20"/>
                <w:lang w:eastAsia="en-GB"/>
              </w:rPr>
            </w:pPr>
            <w:r>
              <w:rPr>
                <w:sz w:val="20"/>
                <w:szCs w:val="20"/>
              </w:rPr>
              <w:t>Pension Early Release Costs</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400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400</w:t>
            </w:r>
          </w:p>
        </w:tc>
      </w:tr>
      <w:tr w:rsidR="00C27DFE" w:rsidRPr="00F54426" w:rsidTr="00FE161C">
        <w:trPr>
          <w:trHeight w:val="60"/>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4A699A">
            <w:pPr>
              <w:spacing w:before="30" w:after="30" w:line="240" w:lineRule="auto"/>
              <w:rPr>
                <w:sz w:val="20"/>
                <w:szCs w:val="20"/>
                <w:lang w:eastAsia="en-GB"/>
              </w:rPr>
            </w:pPr>
            <w:r>
              <w:rPr>
                <w:sz w:val="20"/>
                <w:szCs w:val="20"/>
              </w:rPr>
              <w:t>Property PFI</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1,912</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sz w:val="20"/>
                <w:szCs w:val="20"/>
              </w:rPr>
              <w:t>(1,912)</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743B0F">
            <w:pPr>
              <w:spacing w:before="30" w:after="30" w:line="240" w:lineRule="auto"/>
              <w:rPr>
                <w:sz w:val="20"/>
                <w:szCs w:val="20"/>
                <w:lang w:eastAsia="en-GB"/>
              </w:rPr>
            </w:pPr>
            <w:r>
              <w:rPr>
                <w:sz w:val="20"/>
                <w:szCs w:val="20"/>
              </w:rPr>
              <w:t>Recruitment/ Outreach</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2050C1">
            <w:pPr>
              <w:spacing w:before="30" w:after="30" w:line="240" w:lineRule="auto"/>
              <w:jc w:val="right"/>
              <w:rPr>
                <w:b/>
                <w:bCs/>
                <w:sz w:val="20"/>
                <w:szCs w:val="20"/>
                <w:highlight w:val="yellow"/>
                <w:lang w:eastAsia="en-GB"/>
              </w:rPr>
            </w:pPr>
            <w:r>
              <w:rPr>
                <w:b/>
                <w:bCs/>
                <w:sz w:val="20"/>
                <w:szCs w:val="20"/>
              </w:rPr>
              <w:t>600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2050C1">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sz w:val="20"/>
                <w:szCs w:val="20"/>
                <w:highlight w:val="yellow"/>
              </w:rPr>
            </w:pPr>
            <w:r>
              <w:rPr>
                <w:sz w:val="20"/>
                <w:szCs w:val="20"/>
              </w:rPr>
              <w:t>(250)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2050C1">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2050C1">
            <w:pPr>
              <w:spacing w:before="30" w:after="30" w:line="240" w:lineRule="auto"/>
              <w:jc w:val="right"/>
              <w:rPr>
                <w:b/>
                <w:bCs/>
                <w:sz w:val="20"/>
                <w:szCs w:val="20"/>
                <w:highlight w:val="yellow"/>
                <w:lang w:eastAsia="en-GB"/>
              </w:rPr>
            </w:pPr>
            <w:r>
              <w:rPr>
                <w:b/>
                <w:bCs/>
                <w:sz w:val="20"/>
                <w:szCs w:val="20"/>
              </w:rPr>
              <w:t>350</w:t>
            </w:r>
          </w:p>
        </w:tc>
      </w:tr>
      <w:tr w:rsidR="00C27DFE" w:rsidRPr="00F54426" w:rsidTr="00A52FBF">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4A699A">
            <w:pPr>
              <w:spacing w:before="30" w:after="30" w:line="240" w:lineRule="auto"/>
              <w:rPr>
                <w:sz w:val="20"/>
                <w:szCs w:val="20"/>
                <w:lang w:eastAsia="en-GB"/>
              </w:rPr>
            </w:pPr>
            <w:r>
              <w:rPr>
                <w:sz w:val="20"/>
                <w:szCs w:val="20"/>
              </w:rPr>
              <w:t>Review of Property Services</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85</w:t>
            </w:r>
          </w:p>
        </w:tc>
        <w:tc>
          <w:tcPr>
            <w:tcW w:w="1361" w:type="dxa"/>
            <w:tcBorders>
              <w:top w:val="single" w:sz="4" w:space="0" w:color="auto"/>
              <w:left w:val="single" w:sz="4" w:space="0" w:color="auto"/>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sz w:val="20"/>
                <w:szCs w:val="20"/>
              </w:rPr>
              <w:t>(85)</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single" w:sz="4" w:space="0" w:color="auto"/>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4A699A">
            <w:pPr>
              <w:spacing w:before="30" w:after="30" w:line="240" w:lineRule="auto"/>
              <w:rPr>
                <w:sz w:val="20"/>
                <w:szCs w:val="20"/>
                <w:lang w:eastAsia="en-GB"/>
              </w:rPr>
            </w:pPr>
            <w:r>
              <w:rPr>
                <w:sz w:val="20"/>
                <w:szCs w:val="20"/>
              </w:rPr>
              <w:t>Sustainability</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235</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sz w:val="20"/>
                <w:szCs w:val="20"/>
                <w:highlight w:val="yellow"/>
              </w:rPr>
            </w:pPr>
            <w:r>
              <w:rPr>
                <w:color w:val="FFFFFF"/>
                <w:sz w:val="20"/>
                <w:szCs w:val="20"/>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0</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C27DFE" w:rsidRPr="0098302A" w:rsidRDefault="00C27DFE" w:rsidP="003E3ADD">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3E3ADD">
            <w:pPr>
              <w:spacing w:before="30" w:after="30" w:line="240" w:lineRule="auto"/>
              <w:jc w:val="right"/>
              <w:rPr>
                <w:b/>
                <w:bCs/>
                <w:sz w:val="20"/>
                <w:szCs w:val="20"/>
                <w:highlight w:val="yellow"/>
                <w:lang w:eastAsia="en-GB"/>
              </w:rPr>
            </w:pPr>
            <w:r>
              <w:rPr>
                <w:b/>
                <w:bCs/>
                <w:sz w:val="20"/>
                <w:szCs w:val="20"/>
              </w:rPr>
              <w:t>235</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743B0F">
            <w:pPr>
              <w:spacing w:before="30" w:after="30" w:line="240" w:lineRule="auto"/>
              <w:rPr>
                <w:sz w:val="20"/>
                <w:szCs w:val="20"/>
                <w:lang w:eastAsia="en-GB"/>
              </w:rPr>
            </w:pPr>
            <w:r w:rsidRPr="00AE5DA0">
              <w:rPr>
                <w:sz w:val="20"/>
                <w:szCs w:val="20"/>
              </w:rPr>
              <w:t>Vehicle &amp; Equipment Reserve</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2050C1">
            <w:pPr>
              <w:spacing w:before="30" w:after="30" w:line="240" w:lineRule="auto"/>
              <w:jc w:val="right"/>
              <w:rPr>
                <w:b/>
                <w:bCs/>
                <w:sz w:val="20"/>
                <w:szCs w:val="20"/>
                <w:highlight w:val="yellow"/>
                <w:lang w:eastAsia="en-GB"/>
              </w:rPr>
            </w:pPr>
            <w:r>
              <w:rPr>
                <w:b/>
                <w:bCs/>
                <w:sz w:val="20"/>
                <w:szCs w:val="20"/>
              </w:rPr>
              <w:t>1,163</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sz w:val="20"/>
                <w:szCs w:val="20"/>
                <w:highlight w:val="yellow"/>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2050C1">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color w:val="FFFFFF"/>
                <w:sz w:val="20"/>
                <w:szCs w:val="20"/>
                <w:highlight w:val="yellow"/>
              </w:rPr>
            </w:pPr>
            <w:r>
              <w:rPr>
                <w:color w:val="FFFFFF"/>
                <w:sz w:val="20"/>
                <w:szCs w:val="20"/>
              </w:rPr>
              <w:t>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2050C1">
            <w:pPr>
              <w:spacing w:before="30" w:after="30" w:line="240" w:lineRule="auto"/>
              <w:jc w:val="right"/>
              <w:rPr>
                <w:sz w:val="20"/>
                <w:szCs w:val="20"/>
                <w:highlight w:val="yellow"/>
                <w:lang w:eastAsia="en-GB"/>
              </w:rPr>
            </w:pPr>
            <w:r>
              <w:rPr>
                <w:color w:val="FFFFFF"/>
                <w:sz w:val="20"/>
                <w:szCs w:val="20"/>
              </w:rPr>
              <w:t> </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2050C1">
            <w:pPr>
              <w:spacing w:before="30" w:after="30" w:line="240" w:lineRule="auto"/>
              <w:jc w:val="right"/>
              <w:rPr>
                <w:b/>
                <w:bCs/>
                <w:sz w:val="20"/>
                <w:szCs w:val="20"/>
                <w:highlight w:val="yellow"/>
                <w:lang w:eastAsia="en-GB"/>
              </w:rPr>
            </w:pPr>
            <w:r>
              <w:rPr>
                <w:b/>
                <w:bCs/>
                <w:sz w:val="20"/>
                <w:szCs w:val="20"/>
              </w:rPr>
              <w:t>1,163</w:t>
            </w:r>
          </w:p>
        </w:tc>
      </w:tr>
      <w:tr w:rsidR="00C27DFE" w:rsidRPr="00F54426" w:rsidTr="00FE161C">
        <w:trPr>
          <w:trHeight w:val="77"/>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F54426" w:rsidRDefault="00C27DFE" w:rsidP="009A5B59">
            <w:pPr>
              <w:spacing w:before="30" w:after="30" w:line="240" w:lineRule="auto"/>
              <w:rPr>
                <w:sz w:val="20"/>
                <w:szCs w:val="20"/>
                <w:lang w:eastAsia="en-GB"/>
              </w:rPr>
            </w:pPr>
            <w:r>
              <w:rPr>
                <w:sz w:val="20"/>
                <w:szCs w:val="20"/>
              </w:rPr>
              <w:t>Budget Flexibility</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2050C1">
            <w:pPr>
              <w:spacing w:before="30" w:after="30" w:line="240" w:lineRule="auto"/>
              <w:jc w:val="right"/>
              <w:rPr>
                <w:b/>
                <w:bCs/>
                <w:sz w:val="20"/>
                <w:szCs w:val="20"/>
                <w:highlight w:val="yellow"/>
                <w:lang w:eastAsia="en-GB"/>
              </w:rPr>
            </w:pPr>
            <w:r>
              <w:rPr>
                <w:b/>
                <w:bCs/>
                <w:sz w:val="20"/>
                <w:szCs w:val="20"/>
              </w:rPr>
              <w:t>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sz w:val="20"/>
                <w:szCs w:val="20"/>
                <w:highlight w:val="yellow"/>
              </w:rPr>
            </w:pPr>
            <w:r>
              <w:rPr>
                <w:sz w:val="20"/>
                <w:szCs w:val="20"/>
              </w:rPr>
              <w:t>5,309</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C27DFE" w:rsidP="002050C1">
            <w:pPr>
              <w:spacing w:before="30" w:after="30" w:line="240" w:lineRule="auto"/>
              <w:jc w:val="right"/>
              <w:rPr>
                <w:sz w:val="20"/>
                <w:szCs w:val="20"/>
                <w:highlight w:val="yellow"/>
                <w:lang w:eastAsia="en-GB"/>
              </w:rPr>
            </w:pPr>
            <w:r>
              <w:rPr>
                <w:color w:val="FFFFFF"/>
                <w:sz w:val="20"/>
                <w:szCs w:val="20"/>
              </w:rPr>
              <w:t> </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2050C1">
            <w:pPr>
              <w:spacing w:before="30" w:after="30" w:line="240" w:lineRule="auto"/>
              <w:jc w:val="right"/>
              <w:rPr>
                <w:sz w:val="20"/>
                <w:szCs w:val="20"/>
                <w:highlight w:val="yellow"/>
              </w:rPr>
            </w:pPr>
            <w:r>
              <w:rPr>
                <w:sz w:val="20"/>
                <w:szCs w:val="20"/>
              </w:rPr>
              <w:t>6,160</w:t>
            </w:r>
          </w:p>
        </w:tc>
        <w:tc>
          <w:tcPr>
            <w:tcW w:w="1361" w:type="dxa"/>
            <w:tcBorders>
              <w:top w:val="nil"/>
              <w:left w:val="single" w:sz="4" w:space="0" w:color="auto"/>
              <w:bottom w:val="single" w:sz="4" w:space="0" w:color="auto"/>
              <w:right w:val="single" w:sz="4" w:space="0" w:color="auto"/>
            </w:tcBorders>
            <w:shd w:val="clear" w:color="auto" w:fill="auto"/>
            <w:vAlign w:val="center"/>
          </w:tcPr>
          <w:p w:rsidR="00C27DFE" w:rsidRPr="0098302A" w:rsidRDefault="00C27DFE" w:rsidP="002050C1">
            <w:pPr>
              <w:spacing w:before="30" w:after="30" w:line="240" w:lineRule="auto"/>
              <w:jc w:val="right"/>
              <w:rPr>
                <w:sz w:val="20"/>
                <w:szCs w:val="20"/>
                <w:highlight w:val="yellow"/>
                <w:lang w:eastAsia="en-GB"/>
              </w:rPr>
            </w:pP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730D92">
            <w:pPr>
              <w:spacing w:before="30" w:after="30" w:line="240" w:lineRule="auto"/>
              <w:jc w:val="right"/>
              <w:rPr>
                <w:b/>
                <w:bCs/>
                <w:sz w:val="20"/>
                <w:szCs w:val="20"/>
                <w:highlight w:val="yellow"/>
                <w:lang w:eastAsia="en-GB"/>
              </w:rPr>
            </w:pPr>
            <w:r>
              <w:rPr>
                <w:b/>
                <w:bCs/>
                <w:sz w:val="20"/>
                <w:szCs w:val="20"/>
              </w:rPr>
              <w:t>1</w:t>
            </w:r>
            <w:r w:rsidR="00D663D9">
              <w:rPr>
                <w:b/>
                <w:bCs/>
                <w:sz w:val="20"/>
                <w:szCs w:val="20"/>
              </w:rPr>
              <w:t>1</w:t>
            </w:r>
            <w:r>
              <w:rPr>
                <w:b/>
                <w:bCs/>
                <w:sz w:val="20"/>
                <w:szCs w:val="20"/>
              </w:rPr>
              <w:t>,</w:t>
            </w:r>
            <w:r w:rsidR="00D92E41">
              <w:rPr>
                <w:b/>
                <w:bCs/>
                <w:sz w:val="20"/>
                <w:szCs w:val="20"/>
              </w:rPr>
              <w:t>469</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C27DFE" w:rsidRPr="00CA2BE9" w:rsidRDefault="00C27DFE" w:rsidP="004A699A">
            <w:pPr>
              <w:spacing w:before="30" w:after="30" w:line="240" w:lineRule="auto"/>
              <w:rPr>
                <w:sz w:val="20"/>
                <w:szCs w:val="20"/>
                <w:highlight w:val="yellow"/>
                <w:lang w:eastAsia="en-GB"/>
              </w:rPr>
            </w:pPr>
            <w:r>
              <w:rPr>
                <w:sz w:val="20"/>
                <w:szCs w:val="20"/>
              </w:rPr>
              <w:t>General</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21,489</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003D14">
            <w:pPr>
              <w:spacing w:before="30" w:after="30" w:line="240" w:lineRule="auto"/>
              <w:jc w:val="right"/>
              <w:rPr>
                <w:sz w:val="20"/>
                <w:szCs w:val="20"/>
                <w:highlight w:val="yellow"/>
              </w:rPr>
            </w:pPr>
            <w:r>
              <w:rPr>
                <w:sz w:val="20"/>
                <w:szCs w:val="20"/>
              </w:rPr>
              <w:t>(13,011)</w:t>
            </w:r>
          </w:p>
        </w:tc>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C27DFE" w:rsidRPr="0098302A" w:rsidRDefault="001E0257" w:rsidP="00003D14">
            <w:pPr>
              <w:spacing w:before="30" w:after="30" w:line="240" w:lineRule="auto"/>
              <w:jc w:val="right"/>
              <w:rPr>
                <w:sz w:val="20"/>
                <w:szCs w:val="20"/>
                <w:highlight w:val="yellow"/>
                <w:lang w:eastAsia="en-GB"/>
              </w:rPr>
            </w:pPr>
            <w:r>
              <w:rPr>
                <w:sz w:val="20"/>
                <w:szCs w:val="20"/>
              </w:rPr>
              <w:t>4,</w:t>
            </w:r>
            <w:r w:rsidR="00C65FF7">
              <w:rPr>
                <w:sz w:val="20"/>
                <w:szCs w:val="20"/>
              </w:rPr>
              <w:t>73</w:t>
            </w:r>
            <w:r>
              <w:rPr>
                <w:sz w:val="20"/>
                <w:szCs w:val="20"/>
              </w:rPr>
              <w:t>0</w:t>
            </w:r>
          </w:p>
        </w:tc>
        <w:tc>
          <w:tcPr>
            <w:tcW w:w="1361" w:type="dxa"/>
            <w:tcBorders>
              <w:top w:val="single" w:sz="4" w:space="0" w:color="auto"/>
              <w:left w:val="nil"/>
              <w:bottom w:val="single" w:sz="4" w:space="0" w:color="auto"/>
              <w:right w:val="single" w:sz="4" w:space="0" w:color="auto"/>
            </w:tcBorders>
            <w:vAlign w:val="center"/>
          </w:tcPr>
          <w:p w:rsidR="00C27DFE" w:rsidRPr="0098302A" w:rsidRDefault="00C27DFE" w:rsidP="003E3ADD">
            <w:pPr>
              <w:spacing w:before="30" w:after="30" w:line="240" w:lineRule="auto"/>
              <w:jc w:val="right"/>
              <w:rPr>
                <w:color w:val="FFFFFF"/>
                <w:sz w:val="20"/>
                <w:szCs w:val="20"/>
                <w:highlight w:val="yellow"/>
              </w:rPr>
            </w:pPr>
            <w:r>
              <w:rPr>
                <w:color w:val="FFFFFF"/>
                <w:sz w:val="20"/>
                <w:szCs w:val="20"/>
              </w:rPr>
              <w:t> </w:t>
            </w:r>
          </w:p>
        </w:tc>
        <w:tc>
          <w:tcPr>
            <w:tcW w:w="1361" w:type="dxa"/>
            <w:tcBorders>
              <w:top w:val="single" w:sz="4" w:space="0" w:color="auto"/>
              <w:left w:val="single" w:sz="4" w:space="0" w:color="auto"/>
              <w:bottom w:val="single" w:sz="4" w:space="0" w:color="auto"/>
              <w:right w:val="nil"/>
            </w:tcBorders>
            <w:shd w:val="clear" w:color="auto" w:fill="auto"/>
            <w:noWrap/>
            <w:vAlign w:val="center"/>
            <w:hideMark/>
          </w:tcPr>
          <w:p w:rsidR="00C27DFE" w:rsidRPr="0098302A" w:rsidRDefault="00D663D9" w:rsidP="003E3ADD">
            <w:pPr>
              <w:spacing w:before="30" w:after="30" w:line="240" w:lineRule="auto"/>
              <w:jc w:val="right"/>
              <w:rPr>
                <w:sz w:val="20"/>
                <w:szCs w:val="20"/>
                <w:highlight w:val="yellow"/>
                <w:lang w:eastAsia="en-GB"/>
              </w:rPr>
            </w:pPr>
            <w:r>
              <w:rPr>
                <w:sz w:val="20"/>
                <w:szCs w:val="20"/>
              </w:rPr>
              <w:t>1,912</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563884" w:rsidP="00E057B0">
            <w:pPr>
              <w:spacing w:before="30" w:after="30" w:line="240" w:lineRule="auto"/>
              <w:jc w:val="right"/>
              <w:rPr>
                <w:b/>
                <w:bCs/>
                <w:sz w:val="20"/>
                <w:szCs w:val="20"/>
                <w:highlight w:val="yellow"/>
                <w:lang w:eastAsia="en-GB"/>
              </w:rPr>
            </w:pPr>
            <w:r>
              <w:rPr>
                <w:b/>
                <w:bCs/>
                <w:sz w:val="20"/>
                <w:szCs w:val="20"/>
              </w:rPr>
              <w:t>15,</w:t>
            </w:r>
            <w:r w:rsidR="00C65FF7">
              <w:rPr>
                <w:b/>
                <w:bCs/>
                <w:sz w:val="20"/>
                <w:szCs w:val="20"/>
              </w:rPr>
              <w:t>120</w:t>
            </w:r>
          </w:p>
        </w:tc>
      </w:tr>
      <w:tr w:rsidR="00C27DFE" w:rsidRPr="00F54426" w:rsidTr="00FE161C">
        <w:trPr>
          <w:trHeight w:val="255"/>
        </w:trPr>
        <w:tc>
          <w:tcPr>
            <w:tcW w:w="2802" w:type="dxa"/>
            <w:tcBorders>
              <w:top w:val="nil"/>
              <w:left w:val="single" w:sz="4" w:space="0" w:color="auto"/>
              <w:bottom w:val="single" w:sz="4" w:space="0" w:color="auto"/>
              <w:right w:val="single" w:sz="4" w:space="0" w:color="auto"/>
            </w:tcBorders>
            <w:shd w:val="clear" w:color="000000" w:fill="C0C0C0"/>
            <w:vAlign w:val="bottom"/>
            <w:hideMark/>
          </w:tcPr>
          <w:p w:rsidR="00C27DFE" w:rsidRPr="00F54426" w:rsidRDefault="00C27DFE" w:rsidP="004A699A">
            <w:pPr>
              <w:spacing w:before="30" w:after="30" w:line="240" w:lineRule="auto"/>
              <w:rPr>
                <w:b/>
                <w:bCs/>
                <w:sz w:val="20"/>
                <w:szCs w:val="20"/>
                <w:lang w:eastAsia="en-GB"/>
              </w:rPr>
            </w:pPr>
            <w:r w:rsidRPr="00F54426">
              <w:rPr>
                <w:b/>
                <w:bCs/>
                <w:sz w:val="20"/>
                <w:szCs w:val="20"/>
                <w:lang w:eastAsia="en-GB"/>
              </w:rPr>
              <w:t>Total</w:t>
            </w:r>
          </w:p>
        </w:tc>
        <w:tc>
          <w:tcPr>
            <w:tcW w:w="1360" w:type="dxa"/>
            <w:tcBorders>
              <w:top w:val="nil"/>
              <w:left w:val="nil"/>
              <w:bottom w:val="single" w:sz="4" w:space="0" w:color="auto"/>
              <w:right w:val="single" w:sz="4" w:space="0" w:color="auto"/>
            </w:tcBorders>
            <w:shd w:val="clear" w:color="000000" w:fill="C0C0C0"/>
            <w:noWrap/>
            <w:vAlign w:val="center"/>
            <w:hideMark/>
          </w:tcPr>
          <w:p w:rsidR="00C27DFE" w:rsidRPr="0098302A" w:rsidRDefault="00C27DFE" w:rsidP="004A699A">
            <w:pPr>
              <w:spacing w:before="30" w:after="30" w:line="240" w:lineRule="auto"/>
              <w:jc w:val="right"/>
              <w:rPr>
                <w:b/>
                <w:bCs/>
                <w:sz w:val="20"/>
                <w:szCs w:val="20"/>
                <w:highlight w:val="yellow"/>
                <w:lang w:eastAsia="en-GB"/>
              </w:rPr>
            </w:pPr>
            <w:r>
              <w:rPr>
                <w:b/>
                <w:bCs/>
                <w:sz w:val="20"/>
                <w:szCs w:val="20"/>
              </w:rPr>
              <w:t>37,065</w:t>
            </w:r>
          </w:p>
        </w:tc>
        <w:tc>
          <w:tcPr>
            <w:tcW w:w="1361" w:type="dxa"/>
            <w:tcBorders>
              <w:top w:val="single" w:sz="4" w:space="0" w:color="auto"/>
              <w:left w:val="nil"/>
              <w:bottom w:val="single" w:sz="4" w:space="0" w:color="auto"/>
              <w:right w:val="single" w:sz="4" w:space="0" w:color="auto"/>
            </w:tcBorders>
            <w:shd w:val="clear" w:color="000000" w:fill="C0C0C0"/>
            <w:vAlign w:val="center"/>
          </w:tcPr>
          <w:p w:rsidR="00C27DFE" w:rsidRPr="0098302A" w:rsidRDefault="00C27DFE" w:rsidP="00003D14">
            <w:pPr>
              <w:spacing w:before="30" w:after="30" w:line="240" w:lineRule="auto"/>
              <w:jc w:val="right"/>
              <w:rPr>
                <w:b/>
                <w:bCs/>
                <w:sz w:val="20"/>
                <w:szCs w:val="20"/>
                <w:highlight w:val="yellow"/>
              </w:rPr>
            </w:pPr>
            <w:r>
              <w:rPr>
                <w:b/>
                <w:bCs/>
                <w:sz w:val="20"/>
                <w:szCs w:val="20"/>
              </w:rPr>
              <w:t>0</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1E0257" w:rsidP="00003D14">
            <w:pPr>
              <w:spacing w:before="30" w:after="30" w:line="240" w:lineRule="auto"/>
              <w:jc w:val="right"/>
              <w:rPr>
                <w:b/>
                <w:bCs/>
                <w:sz w:val="20"/>
                <w:szCs w:val="20"/>
                <w:highlight w:val="yellow"/>
                <w:lang w:eastAsia="en-GB"/>
              </w:rPr>
            </w:pPr>
            <w:r>
              <w:rPr>
                <w:b/>
                <w:bCs/>
                <w:sz w:val="20"/>
                <w:szCs w:val="20"/>
              </w:rPr>
              <w:t>4,</w:t>
            </w:r>
            <w:r w:rsidR="00C65FF7">
              <w:rPr>
                <w:b/>
                <w:bCs/>
                <w:sz w:val="20"/>
                <w:szCs w:val="20"/>
              </w:rPr>
              <w:t>73</w:t>
            </w:r>
            <w:r>
              <w:rPr>
                <w:b/>
                <w:bCs/>
                <w:sz w:val="20"/>
                <w:szCs w:val="20"/>
              </w:rPr>
              <w:t>0</w:t>
            </w:r>
          </w:p>
        </w:tc>
        <w:tc>
          <w:tcPr>
            <w:tcW w:w="1361" w:type="dxa"/>
            <w:tcBorders>
              <w:top w:val="single" w:sz="4" w:space="0" w:color="auto"/>
              <w:left w:val="nil"/>
              <w:bottom w:val="single" w:sz="4" w:space="0" w:color="auto"/>
              <w:right w:val="single" w:sz="4" w:space="0" w:color="auto"/>
            </w:tcBorders>
            <w:shd w:val="clear" w:color="000000" w:fill="C0C0C0"/>
            <w:vAlign w:val="center"/>
          </w:tcPr>
          <w:p w:rsidR="00C27DFE" w:rsidRPr="0098302A" w:rsidRDefault="00C27DFE" w:rsidP="00464950">
            <w:pPr>
              <w:spacing w:before="30" w:after="30" w:line="240" w:lineRule="auto"/>
              <w:jc w:val="right"/>
              <w:rPr>
                <w:b/>
                <w:bCs/>
                <w:sz w:val="20"/>
                <w:szCs w:val="20"/>
                <w:highlight w:val="yellow"/>
              </w:rPr>
            </w:pPr>
            <w:r>
              <w:rPr>
                <w:b/>
                <w:bCs/>
                <w:sz w:val="20"/>
                <w:szCs w:val="20"/>
              </w:rPr>
              <w:t>3,526</w:t>
            </w:r>
          </w:p>
        </w:tc>
        <w:tc>
          <w:tcPr>
            <w:tcW w:w="136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464950">
            <w:pPr>
              <w:spacing w:before="30" w:after="30" w:line="240" w:lineRule="auto"/>
              <w:jc w:val="right"/>
              <w:rPr>
                <w:b/>
                <w:bCs/>
                <w:sz w:val="20"/>
                <w:szCs w:val="20"/>
                <w:highlight w:val="yellow"/>
                <w:lang w:eastAsia="en-GB"/>
              </w:rPr>
            </w:pPr>
            <w:r>
              <w:rPr>
                <w:b/>
                <w:bCs/>
                <w:sz w:val="20"/>
                <w:szCs w:val="20"/>
              </w:rPr>
              <w:t>0</w:t>
            </w:r>
          </w:p>
        </w:tc>
        <w:tc>
          <w:tcPr>
            <w:tcW w:w="1361" w:type="dxa"/>
            <w:tcBorders>
              <w:top w:val="nil"/>
              <w:left w:val="single" w:sz="4" w:space="0" w:color="auto"/>
              <w:bottom w:val="single" w:sz="4" w:space="0" w:color="auto"/>
              <w:right w:val="single" w:sz="4" w:space="0" w:color="auto"/>
            </w:tcBorders>
            <w:shd w:val="clear" w:color="000000" w:fill="C0C0C0"/>
            <w:noWrap/>
            <w:vAlign w:val="center"/>
            <w:hideMark/>
          </w:tcPr>
          <w:p w:rsidR="00C27DFE" w:rsidRPr="0098302A" w:rsidRDefault="00C27DFE" w:rsidP="001E0257">
            <w:pPr>
              <w:spacing w:before="30" w:after="30" w:line="240" w:lineRule="auto"/>
              <w:jc w:val="right"/>
              <w:rPr>
                <w:b/>
                <w:bCs/>
                <w:sz w:val="20"/>
                <w:szCs w:val="20"/>
                <w:highlight w:val="yellow"/>
                <w:lang w:eastAsia="en-GB"/>
              </w:rPr>
            </w:pPr>
            <w:r>
              <w:rPr>
                <w:b/>
                <w:bCs/>
                <w:sz w:val="20"/>
                <w:szCs w:val="20"/>
              </w:rPr>
              <w:t>45,</w:t>
            </w:r>
            <w:r w:rsidR="00C65FF7">
              <w:rPr>
                <w:b/>
                <w:bCs/>
                <w:sz w:val="20"/>
                <w:szCs w:val="20"/>
              </w:rPr>
              <w:t>321</w:t>
            </w:r>
          </w:p>
        </w:tc>
      </w:tr>
    </w:tbl>
    <w:p w:rsidR="0093429D" w:rsidRPr="00946449" w:rsidRDefault="0093429D" w:rsidP="00946449">
      <w:pPr>
        <w:pStyle w:val="ListParagraph"/>
        <w:ind w:left="567"/>
        <w:rPr>
          <w:sz w:val="24"/>
        </w:rPr>
      </w:pPr>
    </w:p>
    <w:p w:rsidR="009D7222" w:rsidRDefault="009D7222" w:rsidP="009D7222">
      <w:pPr>
        <w:pStyle w:val="ListParagraph"/>
        <w:ind w:left="567"/>
        <w:rPr>
          <w:sz w:val="24"/>
        </w:rPr>
      </w:pPr>
    </w:p>
    <w:p w:rsidR="00067B53" w:rsidRDefault="001B0D4B" w:rsidP="00705EFA">
      <w:pPr>
        <w:pStyle w:val="ListParagraph"/>
        <w:numPr>
          <w:ilvl w:val="0"/>
          <w:numId w:val="160"/>
        </w:numPr>
        <w:ind w:left="567" w:hanging="567"/>
        <w:contextualSpacing w:val="0"/>
        <w:rPr>
          <w:sz w:val="24"/>
        </w:rPr>
      </w:pPr>
      <w:r w:rsidRPr="00D92E7D">
        <w:rPr>
          <w:sz w:val="24"/>
        </w:rPr>
        <w:t>The reserves table above in</w:t>
      </w:r>
      <w:r w:rsidR="00524FE5" w:rsidRPr="00D92E7D">
        <w:rPr>
          <w:sz w:val="24"/>
        </w:rPr>
        <w:t>cludes the establishment of an A</w:t>
      </w:r>
      <w:r w:rsidRPr="00D92E7D">
        <w:rPr>
          <w:sz w:val="24"/>
        </w:rPr>
        <w:t xml:space="preserve">dditional </w:t>
      </w:r>
      <w:r w:rsidR="00524FE5" w:rsidRPr="00D92E7D">
        <w:rPr>
          <w:sz w:val="24"/>
        </w:rPr>
        <w:t>R</w:t>
      </w:r>
      <w:r w:rsidRPr="00D92E7D">
        <w:rPr>
          <w:sz w:val="24"/>
        </w:rPr>
        <w:t xml:space="preserve">esilience reserve to meet forecast costs in 2017/18 </w:t>
      </w:r>
      <w:r w:rsidR="004C1FCF" w:rsidRPr="00D92E7D">
        <w:rPr>
          <w:sz w:val="24"/>
        </w:rPr>
        <w:t xml:space="preserve">arising </w:t>
      </w:r>
      <w:r w:rsidRPr="00D92E7D">
        <w:rPr>
          <w:sz w:val="24"/>
        </w:rPr>
        <w:t xml:space="preserve">from an initial assessment of </w:t>
      </w:r>
      <w:r w:rsidR="00524FE5" w:rsidRPr="00D92E7D">
        <w:rPr>
          <w:sz w:val="24"/>
        </w:rPr>
        <w:t xml:space="preserve">the LFB </w:t>
      </w:r>
      <w:r w:rsidRPr="00D92E7D">
        <w:rPr>
          <w:sz w:val="24"/>
        </w:rPr>
        <w:t xml:space="preserve">resources </w:t>
      </w:r>
      <w:r w:rsidR="00524FE5" w:rsidRPr="00D92E7D">
        <w:rPr>
          <w:sz w:val="24"/>
        </w:rPr>
        <w:t xml:space="preserve">requirement </w:t>
      </w:r>
      <w:r w:rsidR="004C1FCF" w:rsidRPr="00D92E7D">
        <w:rPr>
          <w:sz w:val="24"/>
        </w:rPr>
        <w:t xml:space="preserve">following </w:t>
      </w:r>
      <w:r w:rsidRPr="00D92E7D">
        <w:rPr>
          <w:sz w:val="24"/>
        </w:rPr>
        <w:t>recent events (FEP 2763). The reserve has be</w:t>
      </w:r>
      <w:r w:rsidR="00524FE5" w:rsidRPr="00D92E7D">
        <w:rPr>
          <w:sz w:val="24"/>
        </w:rPr>
        <w:t>en funded by a tran</w:t>
      </w:r>
      <w:r w:rsidRPr="00D92E7D">
        <w:rPr>
          <w:sz w:val="24"/>
        </w:rPr>
        <w:t>sfer from the general reserve of £</w:t>
      </w:r>
      <w:r w:rsidR="005C1421" w:rsidRPr="00D92E7D">
        <w:rPr>
          <w:sz w:val="24"/>
        </w:rPr>
        <w:t>6</w:t>
      </w:r>
      <w:r w:rsidRPr="00D92E7D">
        <w:rPr>
          <w:sz w:val="24"/>
        </w:rPr>
        <w:t>,7</w:t>
      </w:r>
      <w:r w:rsidR="005C1421" w:rsidRPr="00D92E7D">
        <w:rPr>
          <w:sz w:val="24"/>
        </w:rPr>
        <w:t>5</w:t>
      </w:r>
      <w:r w:rsidRPr="00D92E7D">
        <w:rPr>
          <w:sz w:val="24"/>
        </w:rPr>
        <w:t>7k</w:t>
      </w:r>
      <w:r w:rsidR="00524FE5" w:rsidRPr="00D92E7D">
        <w:rPr>
          <w:sz w:val="24"/>
        </w:rPr>
        <w:t>.</w:t>
      </w:r>
      <w:r w:rsidR="006825D2" w:rsidRPr="00D92E7D">
        <w:rPr>
          <w:sz w:val="24"/>
        </w:rPr>
        <w:t xml:space="preserve"> </w:t>
      </w:r>
      <w:r w:rsidR="004321FC" w:rsidRPr="00D92E7D">
        <w:rPr>
          <w:sz w:val="24"/>
        </w:rPr>
        <w:t>This report includes a use of £</w:t>
      </w:r>
      <w:r w:rsidR="009C7CF4" w:rsidRPr="00D92E7D">
        <w:rPr>
          <w:sz w:val="24"/>
        </w:rPr>
        <w:t>8</w:t>
      </w:r>
      <w:r w:rsidR="00D92E7D" w:rsidRPr="00D92E7D">
        <w:rPr>
          <w:sz w:val="24"/>
        </w:rPr>
        <w:t>70</w:t>
      </w:r>
      <w:r w:rsidR="009C7CF4" w:rsidRPr="00D92E7D">
        <w:rPr>
          <w:sz w:val="24"/>
        </w:rPr>
        <w:t xml:space="preserve">k </w:t>
      </w:r>
      <w:r w:rsidR="004321FC" w:rsidRPr="00D92E7D">
        <w:rPr>
          <w:sz w:val="24"/>
        </w:rPr>
        <w:t>for funding of the investigation team</w:t>
      </w:r>
      <w:r w:rsidR="009C7CF4" w:rsidRPr="00D92E7D">
        <w:rPr>
          <w:sz w:val="24"/>
        </w:rPr>
        <w:t xml:space="preserve">, </w:t>
      </w:r>
      <w:r w:rsidR="00D92E7D" w:rsidRPr="00D92E7D">
        <w:rPr>
          <w:sz w:val="24"/>
        </w:rPr>
        <w:t>£</w:t>
      </w:r>
      <w:r w:rsidR="009C55F5">
        <w:rPr>
          <w:sz w:val="24"/>
        </w:rPr>
        <w:t>848</w:t>
      </w:r>
      <w:r w:rsidR="009C55F5" w:rsidRPr="00D92E7D">
        <w:rPr>
          <w:sz w:val="24"/>
        </w:rPr>
        <w:t xml:space="preserve">k </w:t>
      </w:r>
      <w:r w:rsidR="00D92E7D" w:rsidRPr="00D92E7D">
        <w:rPr>
          <w:sz w:val="24"/>
        </w:rPr>
        <w:t xml:space="preserve">for legal costs, </w:t>
      </w:r>
      <w:r w:rsidR="009C7CF4" w:rsidRPr="00D92E7D">
        <w:rPr>
          <w:sz w:val="24"/>
        </w:rPr>
        <w:t>£</w:t>
      </w:r>
      <w:r w:rsidR="00D92E7D" w:rsidRPr="00D92E7D">
        <w:rPr>
          <w:sz w:val="24"/>
        </w:rPr>
        <w:t xml:space="preserve">371k to fund additional overtime costs, £239k </w:t>
      </w:r>
      <w:r w:rsidR="009C7CF4" w:rsidRPr="00D92E7D">
        <w:rPr>
          <w:sz w:val="24"/>
        </w:rPr>
        <w:t xml:space="preserve">to fund an increase in officer levels </w:t>
      </w:r>
      <w:r w:rsidR="0023634A" w:rsidRPr="00D92E7D">
        <w:rPr>
          <w:sz w:val="24"/>
        </w:rPr>
        <w:t xml:space="preserve">and £70k to fund the cost of staff counsellors </w:t>
      </w:r>
      <w:r w:rsidR="004321FC" w:rsidRPr="00D92E7D">
        <w:rPr>
          <w:sz w:val="24"/>
        </w:rPr>
        <w:t>in this financial year.</w:t>
      </w:r>
      <w:r w:rsidR="00FE161C" w:rsidRPr="00D92E7D">
        <w:rPr>
          <w:sz w:val="24"/>
        </w:rPr>
        <w:t xml:space="preserve"> </w:t>
      </w:r>
      <w:r w:rsidR="00D92E7D" w:rsidRPr="00D92E7D">
        <w:rPr>
          <w:sz w:val="24"/>
        </w:rPr>
        <w:t xml:space="preserve">The above table </w:t>
      </w:r>
      <w:r w:rsidR="00FE161C" w:rsidRPr="00D92E7D">
        <w:rPr>
          <w:sz w:val="24"/>
        </w:rPr>
        <w:t>also includes the establishment of a reserve for Emergency Medical Response of £830k to fund the potential cost of sta</w:t>
      </w:r>
      <w:r w:rsidR="009D7222" w:rsidRPr="00D92E7D">
        <w:rPr>
          <w:sz w:val="24"/>
        </w:rPr>
        <w:t xml:space="preserve">ff inoculations in </w:t>
      </w:r>
      <w:r w:rsidR="006825D2" w:rsidRPr="00D92E7D">
        <w:rPr>
          <w:sz w:val="24"/>
        </w:rPr>
        <w:t>2018/19</w:t>
      </w:r>
      <w:r w:rsidR="00D92E7D" w:rsidRPr="00D92E7D">
        <w:rPr>
          <w:sz w:val="24"/>
        </w:rPr>
        <w:t xml:space="preserve"> and an additional payment into the </w:t>
      </w:r>
      <w:r w:rsidR="00F069C9" w:rsidRPr="00D92E7D">
        <w:rPr>
          <w:sz w:val="24"/>
        </w:rPr>
        <w:t xml:space="preserve">New Governance Arrangements reserve to meet the costs associated with the abolition of the Authority expected to happen at the end of </w:t>
      </w:r>
      <w:r w:rsidR="00D92E7D" w:rsidRPr="006B551F">
        <w:rPr>
          <w:sz w:val="24"/>
        </w:rPr>
        <w:t>March 2018,</w:t>
      </w:r>
      <w:r w:rsidR="00D92E7D">
        <w:rPr>
          <w:sz w:val="24"/>
        </w:rPr>
        <w:t xml:space="preserve"> as reported previously.</w:t>
      </w:r>
    </w:p>
    <w:p w:rsidR="00D92E7D" w:rsidRDefault="00D92E7D" w:rsidP="00705EFA">
      <w:pPr>
        <w:pStyle w:val="ListParagraph"/>
        <w:numPr>
          <w:ilvl w:val="0"/>
          <w:numId w:val="160"/>
        </w:numPr>
        <w:ind w:left="567" w:hanging="567"/>
        <w:contextualSpacing w:val="0"/>
        <w:rPr>
          <w:sz w:val="24"/>
        </w:rPr>
      </w:pPr>
      <w:r>
        <w:rPr>
          <w:sz w:val="24"/>
        </w:rPr>
        <w:t xml:space="preserve">This report also includes payments of </w:t>
      </w:r>
      <w:r w:rsidR="00790EDE">
        <w:rPr>
          <w:sz w:val="24"/>
        </w:rPr>
        <w:t xml:space="preserve">£834k into the London resilience reserve from underspends on the Mass </w:t>
      </w:r>
      <w:r w:rsidR="00304B85">
        <w:rPr>
          <w:sz w:val="24"/>
        </w:rPr>
        <w:t>Casualty</w:t>
      </w:r>
      <w:r w:rsidR="00790EDE">
        <w:rPr>
          <w:sz w:val="24"/>
        </w:rPr>
        <w:t xml:space="preserve"> Response, Flood Response and Smoke Filled Environment projects and £850k into the ICT Development reserve from the underspend on the National Operational Guidance Integration programme to allow for the funds to be accessed by these projects in future years.</w:t>
      </w:r>
    </w:p>
    <w:p w:rsidR="0070121A" w:rsidRDefault="0070121A" w:rsidP="00C55A2E">
      <w:pPr>
        <w:pStyle w:val="ListParagraph"/>
        <w:ind w:left="567"/>
        <w:contextualSpacing w:val="0"/>
        <w:rPr>
          <w:sz w:val="24"/>
        </w:rPr>
      </w:pPr>
    </w:p>
    <w:p w:rsidR="00634901" w:rsidRDefault="00524FE5" w:rsidP="00705EFA">
      <w:pPr>
        <w:pStyle w:val="ListParagraph"/>
        <w:numPr>
          <w:ilvl w:val="0"/>
          <w:numId w:val="160"/>
        </w:numPr>
        <w:ind w:left="567" w:hanging="567"/>
        <w:rPr>
          <w:sz w:val="24"/>
          <w:lang w:eastAsia="en-GB"/>
        </w:rPr>
      </w:pPr>
      <w:r w:rsidRPr="00790EDE">
        <w:rPr>
          <w:sz w:val="24"/>
        </w:rPr>
        <w:t>Other d</w:t>
      </w:r>
      <w:r w:rsidR="007B64B3" w:rsidRPr="00790EDE">
        <w:rPr>
          <w:sz w:val="24"/>
        </w:rPr>
        <w:t>rawings from earmarked reserves</w:t>
      </w:r>
      <w:r w:rsidR="0093429D" w:rsidRPr="00790EDE">
        <w:rPr>
          <w:sz w:val="24"/>
        </w:rPr>
        <w:t xml:space="preserve"> </w:t>
      </w:r>
      <w:r w:rsidR="00BA4A6B" w:rsidRPr="00790EDE">
        <w:rPr>
          <w:sz w:val="24"/>
        </w:rPr>
        <w:t>in 2017/18 include</w:t>
      </w:r>
      <w:r w:rsidR="00634901" w:rsidRPr="00790EDE">
        <w:rPr>
          <w:sz w:val="24"/>
        </w:rPr>
        <w:t>:</w:t>
      </w:r>
    </w:p>
    <w:p w:rsidR="0070121A" w:rsidRPr="00790EDE" w:rsidRDefault="0070121A" w:rsidP="00C55A2E">
      <w:pPr>
        <w:pStyle w:val="ListParagraph"/>
        <w:ind w:left="567"/>
        <w:rPr>
          <w:sz w:val="24"/>
          <w:lang w:eastAsia="en-GB"/>
        </w:rPr>
      </w:pPr>
    </w:p>
    <w:p w:rsidR="00BA4A6B" w:rsidRPr="00790EDE" w:rsidRDefault="00BA4A6B" w:rsidP="00CF0D24">
      <w:pPr>
        <w:pStyle w:val="ListParagraph"/>
        <w:numPr>
          <w:ilvl w:val="0"/>
          <w:numId w:val="11"/>
        </w:numPr>
        <w:ind w:left="993" w:hanging="426"/>
        <w:rPr>
          <w:sz w:val="24"/>
          <w:lang w:eastAsia="en-GB"/>
        </w:rPr>
      </w:pPr>
      <w:r w:rsidRPr="00790EDE">
        <w:rPr>
          <w:sz w:val="24"/>
        </w:rPr>
        <w:t xml:space="preserve">£602k </w:t>
      </w:r>
      <w:r w:rsidRPr="00790EDE">
        <w:rPr>
          <w:sz w:val="24"/>
          <w:lang w:eastAsia="en-GB"/>
        </w:rPr>
        <w:t>for the Community Safety Investment Fund</w:t>
      </w:r>
      <w:r w:rsidRPr="00790EDE">
        <w:rPr>
          <w:sz w:val="24"/>
        </w:rPr>
        <w:t>,</w:t>
      </w:r>
    </w:p>
    <w:p w:rsidR="00BA4A6B" w:rsidRPr="00790EDE" w:rsidRDefault="00BA4A6B" w:rsidP="00CF0D24">
      <w:pPr>
        <w:pStyle w:val="ListParagraph"/>
        <w:numPr>
          <w:ilvl w:val="0"/>
          <w:numId w:val="11"/>
        </w:numPr>
        <w:ind w:left="993" w:hanging="426"/>
        <w:rPr>
          <w:sz w:val="24"/>
          <w:lang w:eastAsia="en-GB"/>
        </w:rPr>
      </w:pPr>
      <w:r w:rsidRPr="00790EDE">
        <w:rPr>
          <w:sz w:val="24"/>
        </w:rPr>
        <w:t>£4</w:t>
      </w:r>
      <w:r w:rsidR="00790EDE" w:rsidRPr="00790EDE">
        <w:rPr>
          <w:sz w:val="24"/>
        </w:rPr>
        <w:t>3</w:t>
      </w:r>
      <w:r w:rsidR="00D042BC" w:rsidRPr="00790EDE">
        <w:rPr>
          <w:sz w:val="24"/>
        </w:rPr>
        <w:t>9</w:t>
      </w:r>
      <w:r w:rsidRPr="00790EDE">
        <w:rPr>
          <w:sz w:val="24"/>
        </w:rPr>
        <w:t>k for implementation of LSP2017,</w:t>
      </w:r>
    </w:p>
    <w:p w:rsidR="00BA4A6B" w:rsidRPr="00790EDE" w:rsidRDefault="00BA4A6B" w:rsidP="00CF0D24">
      <w:pPr>
        <w:pStyle w:val="ListParagraph"/>
        <w:numPr>
          <w:ilvl w:val="0"/>
          <w:numId w:val="11"/>
        </w:numPr>
        <w:ind w:left="993" w:hanging="426"/>
        <w:rPr>
          <w:sz w:val="24"/>
          <w:lang w:eastAsia="en-GB"/>
        </w:rPr>
      </w:pPr>
      <w:r w:rsidRPr="00790EDE">
        <w:rPr>
          <w:sz w:val="24"/>
          <w:lang w:eastAsia="en-GB"/>
        </w:rPr>
        <w:t>£</w:t>
      </w:r>
      <w:r w:rsidR="00D042BC" w:rsidRPr="00790EDE">
        <w:rPr>
          <w:sz w:val="24"/>
          <w:lang w:eastAsia="en-GB"/>
        </w:rPr>
        <w:t>250</w:t>
      </w:r>
      <w:r w:rsidRPr="00790EDE">
        <w:rPr>
          <w:sz w:val="24"/>
          <w:lang w:eastAsia="en-GB"/>
        </w:rPr>
        <w:t>k to fund the recruitment and outreach team,</w:t>
      </w:r>
    </w:p>
    <w:p w:rsidR="00790EDE" w:rsidRPr="00790EDE" w:rsidRDefault="00790EDE" w:rsidP="00790EDE">
      <w:pPr>
        <w:pStyle w:val="ListParagraph"/>
        <w:numPr>
          <w:ilvl w:val="0"/>
          <w:numId w:val="11"/>
        </w:numPr>
        <w:ind w:left="993" w:hanging="426"/>
        <w:rPr>
          <w:sz w:val="24"/>
          <w:lang w:eastAsia="en-GB"/>
        </w:rPr>
      </w:pPr>
      <w:r w:rsidRPr="00790EDE">
        <w:rPr>
          <w:sz w:val="24"/>
        </w:rPr>
        <w:t>£208k to fund ICT developments,</w:t>
      </w:r>
    </w:p>
    <w:p w:rsidR="00E27B78" w:rsidRPr="00790EDE" w:rsidRDefault="002F304F" w:rsidP="002F304F">
      <w:pPr>
        <w:pStyle w:val="ListParagraph"/>
        <w:numPr>
          <w:ilvl w:val="0"/>
          <w:numId w:val="11"/>
        </w:numPr>
        <w:ind w:left="993" w:hanging="426"/>
        <w:rPr>
          <w:sz w:val="24"/>
          <w:lang w:eastAsia="en-GB"/>
        </w:rPr>
      </w:pPr>
      <w:r w:rsidRPr="00790EDE">
        <w:rPr>
          <w:sz w:val="24"/>
          <w:lang w:eastAsia="en-GB"/>
        </w:rPr>
        <w:t>£203k from the hazmat reserve to fund new gas tight suits</w:t>
      </w:r>
      <w:r w:rsidR="00E27B78" w:rsidRPr="00790EDE">
        <w:rPr>
          <w:sz w:val="24"/>
          <w:lang w:eastAsia="en-GB"/>
        </w:rPr>
        <w:t>,</w:t>
      </w:r>
    </w:p>
    <w:p w:rsidR="002F304F" w:rsidRPr="00790EDE" w:rsidRDefault="00E27B78" w:rsidP="002F304F">
      <w:pPr>
        <w:pStyle w:val="ListParagraph"/>
        <w:numPr>
          <w:ilvl w:val="0"/>
          <w:numId w:val="11"/>
        </w:numPr>
        <w:ind w:left="993" w:hanging="426"/>
        <w:rPr>
          <w:sz w:val="24"/>
          <w:lang w:eastAsia="en-GB"/>
        </w:rPr>
      </w:pPr>
      <w:r w:rsidRPr="00790EDE">
        <w:rPr>
          <w:sz w:val="24"/>
          <w:lang w:eastAsia="en-GB"/>
        </w:rPr>
        <w:t>£200k to fund fire safety and youth engagement work</w:t>
      </w:r>
      <w:r w:rsidR="002F304F" w:rsidRPr="00790EDE">
        <w:rPr>
          <w:sz w:val="24"/>
          <w:lang w:eastAsia="en-GB"/>
        </w:rPr>
        <w:t xml:space="preserve">, </w:t>
      </w:r>
    </w:p>
    <w:p w:rsidR="006825D2" w:rsidRPr="00790EDE" w:rsidRDefault="00BA4A6B" w:rsidP="00B45F73">
      <w:pPr>
        <w:pStyle w:val="ListParagraph"/>
        <w:numPr>
          <w:ilvl w:val="0"/>
          <w:numId w:val="11"/>
        </w:numPr>
        <w:ind w:left="993" w:hanging="426"/>
        <w:rPr>
          <w:sz w:val="24"/>
          <w:lang w:eastAsia="en-GB"/>
        </w:rPr>
      </w:pPr>
      <w:r w:rsidRPr="00790EDE">
        <w:rPr>
          <w:sz w:val="24"/>
          <w:lang w:eastAsia="en-GB"/>
        </w:rPr>
        <w:t>£20</w:t>
      </w:r>
      <w:r w:rsidR="00D042BC" w:rsidRPr="00790EDE">
        <w:rPr>
          <w:sz w:val="24"/>
          <w:lang w:eastAsia="en-GB"/>
        </w:rPr>
        <w:t>0</w:t>
      </w:r>
      <w:r w:rsidRPr="00790EDE">
        <w:rPr>
          <w:sz w:val="24"/>
          <w:lang w:eastAsia="en-GB"/>
        </w:rPr>
        <w:t>k to fund the Emergency Services Mobile Communication Programme</w:t>
      </w:r>
      <w:r w:rsidR="00790EDE" w:rsidRPr="00790EDE">
        <w:rPr>
          <w:sz w:val="24"/>
          <w:lang w:eastAsia="en-GB"/>
        </w:rPr>
        <w:t>, and</w:t>
      </w:r>
    </w:p>
    <w:p w:rsidR="00790EDE" w:rsidRPr="00790EDE" w:rsidRDefault="00790EDE" w:rsidP="00B45F73">
      <w:pPr>
        <w:pStyle w:val="ListParagraph"/>
        <w:numPr>
          <w:ilvl w:val="0"/>
          <w:numId w:val="11"/>
        </w:numPr>
        <w:ind w:left="993" w:hanging="426"/>
        <w:rPr>
          <w:sz w:val="24"/>
          <w:lang w:eastAsia="en-GB"/>
        </w:rPr>
      </w:pPr>
      <w:r w:rsidRPr="00790EDE">
        <w:rPr>
          <w:sz w:val="24"/>
          <w:lang w:eastAsia="en-GB"/>
        </w:rPr>
        <w:t>£20k to fund Fire Safety and Youth Engagement works.</w:t>
      </w:r>
    </w:p>
    <w:p w:rsidR="00150F2F" w:rsidRPr="00F91934" w:rsidRDefault="00A52FBF" w:rsidP="004C6692">
      <w:pPr>
        <w:spacing w:after="0" w:line="240" w:lineRule="auto"/>
        <w:contextualSpacing/>
        <w:rPr>
          <w:sz w:val="24"/>
        </w:rPr>
      </w:pPr>
      <w:r w:rsidRPr="00B45F73">
        <w:rPr>
          <w:b/>
          <w:sz w:val="24"/>
          <w:lang w:eastAsia="en-GB"/>
        </w:rPr>
        <w:t>Capital</w:t>
      </w:r>
    </w:p>
    <w:p w:rsidR="00B7551A" w:rsidRPr="00C55A2E" w:rsidRDefault="00A52FBF" w:rsidP="00705EFA">
      <w:pPr>
        <w:pStyle w:val="NumbList"/>
        <w:numPr>
          <w:ilvl w:val="0"/>
          <w:numId w:val="160"/>
        </w:numPr>
        <w:contextualSpacing/>
        <w:rPr>
          <w:sz w:val="24"/>
        </w:rPr>
      </w:pPr>
      <w:r w:rsidRPr="00C55A2E">
        <w:rPr>
          <w:sz w:val="24"/>
        </w:rPr>
        <w:t xml:space="preserve">The capital programme for 2017/18 was agreed by the Resources Committee in July 2017 (FEP2750) with a budget of £29,146k. </w:t>
      </w:r>
      <w:r w:rsidR="00B7551A" w:rsidRPr="00C55A2E">
        <w:rPr>
          <w:sz w:val="24"/>
        </w:rPr>
        <w:t>The forecast capital spend for 2017/18 is £20,344k, which is £8,802k  less than the capital budget. The last reported forecast was £17,995k (FEP2792)</w:t>
      </w:r>
      <w:r w:rsidR="00345469">
        <w:rPr>
          <w:sz w:val="24"/>
        </w:rPr>
        <w:t>, an increase</w:t>
      </w:r>
      <w:r w:rsidR="00B7551A" w:rsidRPr="00C55A2E">
        <w:rPr>
          <w:sz w:val="24"/>
        </w:rPr>
        <w:t xml:space="preserve"> in spend of £2,349k </w:t>
      </w:r>
      <w:r w:rsidR="00345469">
        <w:rPr>
          <w:sz w:val="24"/>
        </w:rPr>
        <w:t>due to the following:</w:t>
      </w:r>
    </w:p>
    <w:p w:rsidR="00B7551A" w:rsidRPr="00C55A2E" w:rsidRDefault="00B7551A" w:rsidP="00C55A2E">
      <w:pPr>
        <w:spacing w:after="0"/>
        <w:ind w:left="720"/>
        <w:rPr>
          <w:sz w:val="24"/>
          <w:u w:val="single"/>
          <w:lang w:eastAsia="en-GB"/>
        </w:rPr>
      </w:pPr>
      <w:r w:rsidRPr="00C55A2E">
        <w:rPr>
          <w:sz w:val="24"/>
          <w:u w:val="single"/>
          <w:lang w:eastAsia="en-GB"/>
        </w:rPr>
        <w:t>Budget new requirements  - £177k</w:t>
      </w:r>
    </w:p>
    <w:p w:rsidR="00B7551A" w:rsidRPr="00C55A2E" w:rsidRDefault="00B7551A" w:rsidP="00C55A2E">
      <w:pPr>
        <w:pStyle w:val="NoSpacing"/>
        <w:numPr>
          <w:ilvl w:val="0"/>
          <w:numId w:val="142"/>
        </w:numPr>
        <w:ind w:left="1100"/>
        <w:rPr>
          <w:sz w:val="24"/>
          <w:lang w:eastAsia="en-GB"/>
        </w:rPr>
      </w:pPr>
      <w:r w:rsidRPr="00C55A2E">
        <w:rPr>
          <w:sz w:val="24"/>
          <w:szCs w:val="24"/>
          <w:lang w:eastAsia="en-GB"/>
        </w:rPr>
        <w:t>Fleet equipment - £74k</w:t>
      </w:r>
    </w:p>
    <w:p w:rsidR="00B7551A" w:rsidRPr="00C55A2E" w:rsidRDefault="00B7551A" w:rsidP="00C55A2E">
      <w:pPr>
        <w:pStyle w:val="NoSpacing"/>
        <w:numPr>
          <w:ilvl w:val="0"/>
          <w:numId w:val="142"/>
        </w:numPr>
        <w:ind w:left="1100"/>
        <w:rPr>
          <w:sz w:val="24"/>
          <w:lang w:eastAsia="en-GB"/>
        </w:rPr>
      </w:pPr>
      <w:r w:rsidRPr="00C55A2E">
        <w:rPr>
          <w:sz w:val="24"/>
          <w:szCs w:val="24"/>
          <w:lang w:eastAsia="en-GB"/>
        </w:rPr>
        <w:t>Replacement Laptops £103k</w:t>
      </w:r>
    </w:p>
    <w:p w:rsidR="00B7551A" w:rsidRPr="00A43A81" w:rsidRDefault="00B7551A" w:rsidP="00C55A2E">
      <w:pPr>
        <w:spacing w:after="0"/>
        <w:ind w:left="1440"/>
        <w:rPr>
          <w:sz w:val="24"/>
          <w:lang w:eastAsia="en-GB"/>
        </w:rPr>
      </w:pPr>
    </w:p>
    <w:p w:rsidR="00B7551A" w:rsidRPr="00C55A2E" w:rsidRDefault="00B7551A" w:rsidP="00C55A2E">
      <w:pPr>
        <w:spacing w:after="0"/>
        <w:ind w:left="720"/>
        <w:rPr>
          <w:sz w:val="24"/>
          <w:u w:val="single"/>
          <w:lang w:eastAsia="en-GB"/>
        </w:rPr>
      </w:pPr>
      <w:r w:rsidRPr="00C55A2E">
        <w:rPr>
          <w:sz w:val="24"/>
          <w:u w:val="single"/>
          <w:lang w:eastAsia="en-GB"/>
        </w:rPr>
        <w:t>Budget re-phasing from 2018/19  - £3,617k</w:t>
      </w:r>
    </w:p>
    <w:p w:rsidR="00B7551A" w:rsidRPr="00A6183F" w:rsidRDefault="00B7551A" w:rsidP="00C55A2E">
      <w:pPr>
        <w:pStyle w:val="NoSpacing"/>
        <w:numPr>
          <w:ilvl w:val="0"/>
          <w:numId w:val="141"/>
        </w:numPr>
        <w:ind w:left="1100"/>
        <w:rPr>
          <w:sz w:val="24"/>
          <w:lang w:eastAsia="en-GB"/>
        </w:rPr>
      </w:pPr>
      <w:r w:rsidRPr="00C55A2E">
        <w:rPr>
          <w:sz w:val="24"/>
          <w:szCs w:val="24"/>
          <w:lang w:eastAsia="en-GB"/>
        </w:rPr>
        <w:t xml:space="preserve">(Fleet) Pump Appliances Replacement Programme - £3,522k </w:t>
      </w:r>
    </w:p>
    <w:p w:rsidR="00A6183F" w:rsidRPr="00A6183F" w:rsidRDefault="00A6183F" w:rsidP="00A6183F">
      <w:pPr>
        <w:pStyle w:val="NoSpacing"/>
        <w:numPr>
          <w:ilvl w:val="0"/>
          <w:numId w:val="141"/>
        </w:numPr>
        <w:ind w:left="1100"/>
        <w:rPr>
          <w:sz w:val="24"/>
          <w:lang w:eastAsia="en-GB"/>
        </w:rPr>
      </w:pPr>
      <w:r w:rsidRPr="00C55A2E">
        <w:rPr>
          <w:sz w:val="24"/>
          <w:szCs w:val="24"/>
          <w:lang w:eastAsia="en-GB"/>
        </w:rPr>
        <w:t>New Training Centre - £95k</w:t>
      </w:r>
    </w:p>
    <w:p w:rsidR="00B7551A" w:rsidRPr="00A43A81" w:rsidRDefault="00B7551A" w:rsidP="00C55A2E">
      <w:pPr>
        <w:spacing w:after="0"/>
        <w:ind w:left="1440"/>
        <w:rPr>
          <w:sz w:val="24"/>
          <w:lang w:eastAsia="en-GB"/>
        </w:rPr>
      </w:pPr>
    </w:p>
    <w:p w:rsidR="00B7551A" w:rsidRPr="00C55A2E" w:rsidRDefault="00B7551A" w:rsidP="00C55A2E">
      <w:pPr>
        <w:spacing w:after="0"/>
        <w:ind w:left="720"/>
        <w:rPr>
          <w:sz w:val="24"/>
          <w:u w:val="single"/>
          <w:lang w:eastAsia="en-GB"/>
        </w:rPr>
      </w:pPr>
      <w:r w:rsidRPr="00C55A2E">
        <w:rPr>
          <w:sz w:val="24"/>
          <w:u w:val="single"/>
          <w:lang w:eastAsia="en-GB"/>
        </w:rPr>
        <w:t>Budget re-phasing to 2018/19  - (£1,208k)</w:t>
      </w:r>
    </w:p>
    <w:p w:rsidR="00B7551A" w:rsidRPr="00C55A2E" w:rsidRDefault="00B7551A" w:rsidP="00C55A2E">
      <w:pPr>
        <w:pStyle w:val="NoSpacing"/>
        <w:numPr>
          <w:ilvl w:val="0"/>
          <w:numId w:val="140"/>
        </w:numPr>
        <w:ind w:left="1100"/>
        <w:rPr>
          <w:sz w:val="24"/>
          <w:lang w:eastAsia="en-GB"/>
        </w:rPr>
      </w:pPr>
      <w:r w:rsidRPr="00C55A2E">
        <w:rPr>
          <w:sz w:val="24"/>
          <w:szCs w:val="24"/>
          <w:lang w:eastAsia="en-GB"/>
        </w:rPr>
        <w:t>Fleet Light Vehicles Replacement  - (£547k)</w:t>
      </w:r>
    </w:p>
    <w:p w:rsidR="00B7551A" w:rsidRPr="00C55A2E" w:rsidRDefault="00B7551A" w:rsidP="00C55A2E">
      <w:pPr>
        <w:pStyle w:val="NoSpacing"/>
        <w:numPr>
          <w:ilvl w:val="0"/>
          <w:numId w:val="140"/>
        </w:numPr>
        <w:ind w:left="1100"/>
        <w:rPr>
          <w:sz w:val="24"/>
          <w:lang w:eastAsia="en-GB"/>
        </w:rPr>
      </w:pPr>
      <w:r w:rsidRPr="00C55A2E">
        <w:rPr>
          <w:sz w:val="24"/>
          <w:szCs w:val="24"/>
          <w:lang w:eastAsia="en-GB"/>
        </w:rPr>
        <w:t>Appliance Bay Doors (Shoreditch &amp; Wimbledon FS  - (£275k)</w:t>
      </w:r>
    </w:p>
    <w:p w:rsidR="00B7551A" w:rsidRPr="00C55A2E" w:rsidRDefault="00B7551A" w:rsidP="00C55A2E">
      <w:pPr>
        <w:pStyle w:val="NoSpacing"/>
        <w:numPr>
          <w:ilvl w:val="0"/>
          <w:numId w:val="140"/>
        </w:numPr>
        <w:ind w:left="1100"/>
        <w:rPr>
          <w:sz w:val="24"/>
          <w:lang w:eastAsia="en-GB"/>
        </w:rPr>
      </w:pPr>
      <w:r w:rsidRPr="00C55A2E">
        <w:rPr>
          <w:sz w:val="24"/>
          <w:szCs w:val="24"/>
          <w:lang w:eastAsia="en-GB"/>
        </w:rPr>
        <w:t>Minor works – Eltham FS Shower Refurbishment – (£108k)</w:t>
      </w:r>
    </w:p>
    <w:p w:rsidR="00B7551A" w:rsidRPr="00C55A2E" w:rsidRDefault="00B7551A" w:rsidP="00C55A2E">
      <w:pPr>
        <w:pStyle w:val="NoSpacing"/>
        <w:numPr>
          <w:ilvl w:val="0"/>
          <w:numId w:val="140"/>
        </w:numPr>
        <w:ind w:left="1100"/>
        <w:rPr>
          <w:sz w:val="24"/>
          <w:lang w:eastAsia="en-GB"/>
        </w:rPr>
      </w:pPr>
      <w:r w:rsidRPr="00C55A2E">
        <w:rPr>
          <w:sz w:val="24"/>
          <w:szCs w:val="24"/>
          <w:lang w:eastAsia="en-GB"/>
        </w:rPr>
        <w:t>Minor works – Fulham FS Yard Gates – (£60k)</w:t>
      </w:r>
    </w:p>
    <w:p w:rsidR="00B7551A" w:rsidRPr="00C55A2E" w:rsidRDefault="00B7551A" w:rsidP="00C55A2E">
      <w:pPr>
        <w:pStyle w:val="NoSpacing"/>
        <w:numPr>
          <w:ilvl w:val="0"/>
          <w:numId w:val="140"/>
        </w:numPr>
        <w:ind w:left="1100"/>
        <w:rPr>
          <w:sz w:val="24"/>
          <w:lang w:eastAsia="en-GB"/>
        </w:rPr>
      </w:pPr>
      <w:r w:rsidRPr="00C55A2E">
        <w:rPr>
          <w:sz w:val="24"/>
          <w:szCs w:val="24"/>
          <w:lang w:eastAsia="en-GB"/>
        </w:rPr>
        <w:t>Fire Safety Works – (£47k)</w:t>
      </w:r>
    </w:p>
    <w:p w:rsidR="00B7551A" w:rsidRPr="00C55A2E" w:rsidRDefault="00B7551A" w:rsidP="00C55A2E">
      <w:pPr>
        <w:pStyle w:val="NoSpacing"/>
        <w:numPr>
          <w:ilvl w:val="0"/>
          <w:numId w:val="140"/>
        </w:numPr>
        <w:ind w:left="1100"/>
        <w:rPr>
          <w:sz w:val="24"/>
          <w:lang w:eastAsia="en-GB"/>
        </w:rPr>
      </w:pPr>
      <w:r w:rsidRPr="00C55A2E">
        <w:rPr>
          <w:sz w:val="24"/>
          <w:szCs w:val="24"/>
          <w:lang w:eastAsia="en-GB"/>
        </w:rPr>
        <w:t>ICT - Mobile Data Terminals  - (£71k)</w:t>
      </w:r>
    </w:p>
    <w:p w:rsidR="00B7551A" w:rsidRPr="00C55A2E" w:rsidRDefault="00B7551A" w:rsidP="00C55A2E">
      <w:pPr>
        <w:pStyle w:val="NoSpacing"/>
        <w:numPr>
          <w:ilvl w:val="0"/>
          <w:numId w:val="140"/>
        </w:numPr>
        <w:ind w:left="1100"/>
        <w:rPr>
          <w:sz w:val="24"/>
          <w:lang w:eastAsia="en-GB"/>
        </w:rPr>
      </w:pPr>
      <w:r w:rsidRPr="00C55A2E">
        <w:rPr>
          <w:sz w:val="24"/>
          <w:szCs w:val="24"/>
          <w:lang w:eastAsia="en-GB"/>
        </w:rPr>
        <w:t>ICT – CAMS (£100k)</w:t>
      </w:r>
    </w:p>
    <w:p w:rsidR="00B7551A" w:rsidRPr="00A43A81" w:rsidRDefault="00B7551A" w:rsidP="00C55A2E">
      <w:pPr>
        <w:spacing w:after="0"/>
        <w:ind w:left="720"/>
        <w:rPr>
          <w:sz w:val="24"/>
          <w:lang w:eastAsia="en-GB"/>
        </w:rPr>
      </w:pPr>
    </w:p>
    <w:p w:rsidR="00B7551A" w:rsidRPr="00C55A2E" w:rsidRDefault="00B7551A" w:rsidP="00C55A2E">
      <w:pPr>
        <w:spacing w:after="0"/>
        <w:ind w:left="720"/>
        <w:rPr>
          <w:sz w:val="24"/>
          <w:u w:val="single"/>
          <w:lang w:eastAsia="en-GB"/>
        </w:rPr>
      </w:pPr>
      <w:r w:rsidRPr="00C55A2E">
        <w:rPr>
          <w:sz w:val="24"/>
          <w:u w:val="single"/>
          <w:lang w:eastAsia="en-GB"/>
        </w:rPr>
        <w:t>Budget Savings – (£237k)</w:t>
      </w:r>
    </w:p>
    <w:p w:rsidR="00B7551A" w:rsidRPr="00C55A2E" w:rsidRDefault="00B7551A" w:rsidP="00C55A2E">
      <w:pPr>
        <w:pStyle w:val="NoSpacing"/>
        <w:numPr>
          <w:ilvl w:val="0"/>
          <w:numId w:val="139"/>
        </w:numPr>
        <w:ind w:left="1100"/>
        <w:rPr>
          <w:sz w:val="24"/>
          <w:lang w:eastAsia="en-GB"/>
        </w:rPr>
      </w:pPr>
      <w:r w:rsidRPr="00C55A2E">
        <w:rPr>
          <w:sz w:val="24"/>
          <w:szCs w:val="24"/>
          <w:lang w:eastAsia="en-GB"/>
        </w:rPr>
        <w:t>Estates – Development Costs – (£77k)</w:t>
      </w:r>
    </w:p>
    <w:p w:rsidR="00B7551A" w:rsidRPr="00C55A2E" w:rsidRDefault="00B7551A" w:rsidP="00C55A2E">
      <w:pPr>
        <w:pStyle w:val="NoSpacing"/>
        <w:numPr>
          <w:ilvl w:val="0"/>
          <w:numId w:val="139"/>
        </w:numPr>
        <w:ind w:left="1100"/>
        <w:rPr>
          <w:sz w:val="24"/>
          <w:lang w:eastAsia="en-GB"/>
        </w:rPr>
      </w:pPr>
      <w:r w:rsidRPr="00C55A2E">
        <w:rPr>
          <w:sz w:val="24"/>
          <w:szCs w:val="24"/>
          <w:lang w:eastAsia="en-GB"/>
        </w:rPr>
        <w:t>Mobile Data Terminals  - (£160k)</w:t>
      </w:r>
    </w:p>
    <w:p w:rsidR="00B7551A" w:rsidRPr="00C55A2E" w:rsidRDefault="00B7551A" w:rsidP="00C55A2E">
      <w:pPr>
        <w:pStyle w:val="NoSpacing"/>
        <w:numPr>
          <w:ilvl w:val="0"/>
          <w:numId w:val="139"/>
        </w:numPr>
        <w:ind w:left="1100"/>
        <w:rPr>
          <w:b/>
          <w:sz w:val="24"/>
          <w:lang w:eastAsia="en-GB"/>
        </w:rPr>
      </w:pPr>
      <w:r w:rsidRPr="00C55A2E">
        <w:rPr>
          <w:sz w:val="24"/>
          <w:szCs w:val="24"/>
          <w:lang w:eastAsia="en-GB"/>
        </w:rPr>
        <w:t>Wireless LAN Controllers (£78k)</w:t>
      </w:r>
    </w:p>
    <w:p w:rsidR="00B7551A" w:rsidRPr="00C55A2E" w:rsidRDefault="00B7551A" w:rsidP="00C55A2E">
      <w:pPr>
        <w:pStyle w:val="NoSpacing"/>
        <w:numPr>
          <w:ilvl w:val="0"/>
          <w:numId w:val="139"/>
        </w:numPr>
        <w:ind w:left="1100"/>
        <w:rPr>
          <w:b/>
          <w:sz w:val="24"/>
          <w:lang w:eastAsia="en-GB"/>
        </w:rPr>
      </w:pPr>
      <w:r w:rsidRPr="00C55A2E">
        <w:rPr>
          <w:sz w:val="24"/>
          <w:szCs w:val="24"/>
          <w:lang w:eastAsia="en-GB"/>
        </w:rPr>
        <w:t>Adjustment to ICT over programming £78k</w:t>
      </w:r>
    </w:p>
    <w:p w:rsidR="00B7551A" w:rsidRPr="00A43A81" w:rsidRDefault="00B7551A" w:rsidP="00C55A2E">
      <w:pPr>
        <w:spacing w:after="0"/>
        <w:ind w:left="1440"/>
        <w:rPr>
          <w:sz w:val="24"/>
          <w:lang w:eastAsia="en-GB"/>
        </w:rPr>
      </w:pPr>
    </w:p>
    <w:p w:rsidR="00B7551A" w:rsidRDefault="00B7551A" w:rsidP="00705EFA">
      <w:pPr>
        <w:pStyle w:val="NoSpacing"/>
        <w:numPr>
          <w:ilvl w:val="0"/>
          <w:numId w:val="160"/>
        </w:numPr>
        <w:rPr>
          <w:sz w:val="24"/>
          <w:szCs w:val="24"/>
          <w:lang w:eastAsia="en-GB"/>
        </w:rPr>
      </w:pPr>
      <w:r w:rsidRPr="00FA66C2">
        <w:rPr>
          <w:sz w:val="24"/>
          <w:szCs w:val="24"/>
          <w:lang w:eastAsia="en-GB"/>
        </w:rPr>
        <w:t xml:space="preserve">Fleet equipment  - the budget requirement for 2017/18 has increased by £74k following the review of the equipment replacement programme.  </w:t>
      </w:r>
      <w:r w:rsidR="00345469">
        <w:rPr>
          <w:sz w:val="24"/>
          <w:szCs w:val="24"/>
          <w:lang w:eastAsia="en-GB"/>
        </w:rPr>
        <w:t>T</w:t>
      </w:r>
      <w:r w:rsidRPr="00FA66C2">
        <w:rPr>
          <w:sz w:val="24"/>
          <w:szCs w:val="24"/>
          <w:lang w:eastAsia="en-GB"/>
        </w:rPr>
        <w:t xml:space="preserve">he previous estimated budget for 2018/19 </w:t>
      </w:r>
      <w:r w:rsidR="00345469">
        <w:rPr>
          <w:sz w:val="24"/>
          <w:szCs w:val="24"/>
          <w:lang w:eastAsia="en-GB"/>
        </w:rPr>
        <w:t>of £1,000k</w:t>
      </w:r>
      <w:r w:rsidRPr="00FA66C2">
        <w:rPr>
          <w:sz w:val="24"/>
          <w:szCs w:val="24"/>
          <w:lang w:eastAsia="en-GB"/>
        </w:rPr>
        <w:t xml:space="preserve"> will increase by £1,139k to an estimated £2,139k. This is mainly due to replacement of  the equipment for Fire Rescue Units (FRUs) needing to coincide with the design phase of the FRU vehicle replacement project. </w:t>
      </w:r>
      <w:r w:rsidR="00E051E5">
        <w:rPr>
          <w:sz w:val="24"/>
          <w:szCs w:val="24"/>
          <w:lang w:eastAsia="en-GB"/>
        </w:rPr>
        <w:t xml:space="preserve">The funding has been brought forward to allow this to happen. </w:t>
      </w:r>
    </w:p>
    <w:p w:rsidR="00B7551A" w:rsidRPr="00FA66C2" w:rsidRDefault="00B7551A" w:rsidP="00B7551A">
      <w:pPr>
        <w:pStyle w:val="NoSpacing"/>
        <w:rPr>
          <w:sz w:val="24"/>
          <w:szCs w:val="24"/>
          <w:lang w:eastAsia="en-GB"/>
        </w:rPr>
      </w:pPr>
    </w:p>
    <w:p w:rsidR="00B7551A" w:rsidRDefault="00345469" w:rsidP="00705EFA">
      <w:pPr>
        <w:pStyle w:val="NoSpacing"/>
        <w:numPr>
          <w:ilvl w:val="0"/>
          <w:numId w:val="160"/>
        </w:numPr>
        <w:rPr>
          <w:sz w:val="24"/>
          <w:szCs w:val="24"/>
          <w:lang w:eastAsia="en-GB"/>
        </w:rPr>
      </w:pPr>
      <w:r>
        <w:rPr>
          <w:sz w:val="24"/>
          <w:szCs w:val="24"/>
          <w:lang w:eastAsia="en-GB"/>
        </w:rPr>
        <w:t xml:space="preserve">Replacement Laptops </w:t>
      </w:r>
      <w:r w:rsidR="00C55A2E">
        <w:rPr>
          <w:sz w:val="24"/>
          <w:szCs w:val="24"/>
          <w:lang w:eastAsia="en-GB"/>
        </w:rPr>
        <w:t>–</w:t>
      </w:r>
      <w:r>
        <w:rPr>
          <w:sz w:val="24"/>
          <w:szCs w:val="24"/>
          <w:lang w:eastAsia="en-GB"/>
        </w:rPr>
        <w:t xml:space="preserve"> </w:t>
      </w:r>
      <w:r w:rsidR="00C55A2E">
        <w:rPr>
          <w:sz w:val="24"/>
          <w:szCs w:val="24"/>
          <w:lang w:eastAsia="en-GB"/>
        </w:rPr>
        <w:t>A budget of £450k was approved in July 2015 (</w:t>
      </w:r>
      <w:r w:rsidR="00B7551A" w:rsidRPr="00FA66C2">
        <w:rPr>
          <w:sz w:val="24"/>
          <w:szCs w:val="24"/>
          <w:lang w:eastAsia="en-GB"/>
        </w:rPr>
        <w:t>FEP2462</w:t>
      </w:r>
      <w:r w:rsidR="00C55A2E">
        <w:rPr>
          <w:sz w:val="24"/>
          <w:szCs w:val="24"/>
          <w:lang w:eastAsia="en-GB"/>
        </w:rPr>
        <w:t>)</w:t>
      </w:r>
      <w:r w:rsidR="00B7551A" w:rsidRPr="00FA66C2">
        <w:rPr>
          <w:sz w:val="24"/>
          <w:szCs w:val="24"/>
          <w:lang w:eastAsia="en-GB"/>
        </w:rPr>
        <w:t xml:space="preserve"> to replace the laptops across LFB.</w:t>
      </w:r>
      <w:r w:rsidR="007D1FCF">
        <w:rPr>
          <w:sz w:val="24"/>
          <w:szCs w:val="24"/>
          <w:lang w:eastAsia="en-GB"/>
        </w:rPr>
        <w:t xml:space="preserve"> </w:t>
      </w:r>
      <w:r w:rsidR="00B7551A" w:rsidRPr="00FA66C2">
        <w:rPr>
          <w:sz w:val="24"/>
          <w:szCs w:val="24"/>
          <w:lang w:eastAsia="en-GB"/>
        </w:rPr>
        <w:t xml:space="preserve">The scheme has been rolled out in stages and the current forecast spend is £403k. This is an increase of £103k against the previous forecast spend. The current phase covers laptops for Disability Discrimination Act (DDA) users, </w:t>
      </w:r>
      <w:r w:rsidR="00E051E5">
        <w:rPr>
          <w:sz w:val="24"/>
          <w:szCs w:val="24"/>
          <w:lang w:eastAsia="en-GB"/>
        </w:rPr>
        <w:t xml:space="preserve">and </w:t>
      </w:r>
      <w:r w:rsidR="00B7551A" w:rsidRPr="00FA66C2">
        <w:rPr>
          <w:sz w:val="24"/>
          <w:szCs w:val="24"/>
          <w:lang w:eastAsia="en-GB"/>
        </w:rPr>
        <w:t xml:space="preserve">laptops resulting from  initiatives to have access to systems when away from the office for senior operational staff, particularly ACs, DACs and Group Managers. </w:t>
      </w:r>
    </w:p>
    <w:p w:rsidR="00B7551A" w:rsidRPr="00FA66C2" w:rsidRDefault="00B7551A" w:rsidP="00B7551A">
      <w:pPr>
        <w:pStyle w:val="NoSpacing"/>
        <w:rPr>
          <w:sz w:val="24"/>
          <w:szCs w:val="24"/>
          <w:lang w:eastAsia="en-GB"/>
        </w:rPr>
      </w:pPr>
    </w:p>
    <w:p w:rsidR="00A6183F" w:rsidRDefault="00B7551A" w:rsidP="00705EFA">
      <w:pPr>
        <w:pStyle w:val="NoSpacing"/>
        <w:numPr>
          <w:ilvl w:val="0"/>
          <w:numId w:val="160"/>
        </w:numPr>
        <w:rPr>
          <w:sz w:val="24"/>
          <w:szCs w:val="24"/>
          <w:lang w:eastAsia="en-GB"/>
        </w:rPr>
      </w:pPr>
      <w:r w:rsidRPr="00FA66C2">
        <w:rPr>
          <w:sz w:val="24"/>
          <w:szCs w:val="24"/>
          <w:lang w:eastAsia="en-GB"/>
        </w:rPr>
        <w:t>The stage payments for the 2</w:t>
      </w:r>
      <w:r w:rsidRPr="00FA66C2">
        <w:rPr>
          <w:sz w:val="24"/>
          <w:szCs w:val="24"/>
          <w:vertAlign w:val="superscript"/>
          <w:lang w:eastAsia="en-GB"/>
        </w:rPr>
        <w:t>nd</w:t>
      </w:r>
      <w:r w:rsidRPr="00FA66C2">
        <w:rPr>
          <w:sz w:val="24"/>
          <w:szCs w:val="24"/>
          <w:lang w:eastAsia="en-GB"/>
        </w:rPr>
        <w:t xml:space="preserve"> batch of pumping appliances have been re-phased following changes in the programme rollout. This has resulted in £3,522k being brought forward from 2018/19 as it is now projected that the 1</w:t>
      </w:r>
      <w:r w:rsidRPr="00FA66C2">
        <w:rPr>
          <w:sz w:val="24"/>
          <w:szCs w:val="24"/>
          <w:vertAlign w:val="superscript"/>
          <w:lang w:eastAsia="en-GB"/>
        </w:rPr>
        <w:t>st</w:t>
      </w:r>
      <w:r w:rsidRPr="00FA66C2">
        <w:rPr>
          <w:sz w:val="24"/>
          <w:szCs w:val="24"/>
          <w:lang w:eastAsia="en-GB"/>
        </w:rPr>
        <w:t xml:space="preserve"> stage of the 2</w:t>
      </w:r>
      <w:r w:rsidRPr="00FA66C2">
        <w:rPr>
          <w:sz w:val="24"/>
          <w:szCs w:val="24"/>
          <w:vertAlign w:val="superscript"/>
          <w:lang w:eastAsia="en-GB"/>
        </w:rPr>
        <w:t>nd</w:t>
      </w:r>
      <w:r w:rsidRPr="00FA66C2">
        <w:rPr>
          <w:sz w:val="24"/>
          <w:szCs w:val="24"/>
          <w:lang w:eastAsia="en-GB"/>
        </w:rPr>
        <w:t xml:space="preserve"> batch of appliances will be complete</w:t>
      </w:r>
      <w:r w:rsidR="00A6183F">
        <w:rPr>
          <w:sz w:val="24"/>
          <w:szCs w:val="24"/>
          <w:lang w:eastAsia="en-GB"/>
        </w:rPr>
        <w:t>d</w:t>
      </w:r>
      <w:r w:rsidRPr="00FA66C2">
        <w:rPr>
          <w:sz w:val="24"/>
          <w:szCs w:val="24"/>
          <w:lang w:eastAsia="en-GB"/>
        </w:rPr>
        <w:t xml:space="preserve"> by 31</w:t>
      </w:r>
      <w:r w:rsidRPr="00FA66C2">
        <w:rPr>
          <w:sz w:val="24"/>
          <w:szCs w:val="24"/>
          <w:vertAlign w:val="superscript"/>
          <w:lang w:eastAsia="en-GB"/>
        </w:rPr>
        <w:t>st</w:t>
      </w:r>
      <w:r w:rsidRPr="00FA66C2">
        <w:rPr>
          <w:sz w:val="24"/>
          <w:szCs w:val="24"/>
          <w:lang w:eastAsia="en-GB"/>
        </w:rPr>
        <w:t xml:space="preserve"> March 2018. The budgets for 2018/19 and 2019/20 have also been adjusted for the new revised timetable.</w:t>
      </w:r>
    </w:p>
    <w:p w:rsidR="00A6183F" w:rsidRPr="00C2271D" w:rsidRDefault="00A6183F" w:rsidP="00C2271D">
      <w:pPr>
        <w:pStyle w:val="NoSpacing"/>
        <w:ind w:left="720"/>
        <w:rPr>
          <w:sz w:val="24"/>
          <w:szCs w:val="24"/>
          <w:lang w:eastAsia="en-GB"/>
        </w:rPr>
      </w:pPr>
    </w:p>
    <w:p w:rsidR="00A6183F" w:rsidRPr="00A6183F" w:rsidRDefault="00A6183F" w:rsidP="00705EFA">
      <w:pPr>
        <w:pStyle w:val="NoSpacing"/>
        <w:numPr>
          <w:ilvl w:val="0"/>
          <w:numId w:val="160"/>
        </w:numPr>
        <w:rPr>
          <w:sz w:val="24"/>
          <w:szCs w:val="24"/>
          <w:lang w:eastAsia="en-GB"/>
        </w:rPr>
      </w:pPr>
      <w:r w:rsidRPr="00FA66C2">
        <w:rPr>
          <w:sz w:val="24"/>
          <w:szCs w:val="24"/>
          <w:lang w:eastAsia="en-GB"/>
        </w:rPr>
        <w:t>The budget for the new training centre has been re-phased in light of the timings in the current programme.</w:t>
      </w:r>
      <w:r>
        <w:rPr>
          <w:sz w:val="24"/>
          <w:szCs w:val="24"/>
          <w:lang w:eastAsia="en-GB"/>
        </w:rPr>
        <w:t xml:space="preserve"> </w:t>
      </w:r>
      <w:r w:rsidRPr="00FA66C2">
        <w:rPr>
          <w:sz w:val="24"/>
          <w:szCs w:val="24"/>
          <w:lang w:eastAsia="en-GB"/>
        </w:rPr>
        <w:t xml:space="preserve">This has resulted in £95k being brought forward from 2018/19 to cover the design fees for the new facility.            </w:t>
      </w:r>
    </w:p>
    <w:p w:rsidR="00B7551A" w:rsidRPr="00FA66C2" w:rsidRDefault="00B7551A" w:rsidP="00B7551A">
      <w:pPr>
        <w:pStyle w:val="NoSpacing"/>
        <w:rPr>
          <w:sz w:val="24"/>
          <w:szCs w:val="24"/>
          <w:lang w:eastAsia="en-GB"/>
        </w:rPr>
      </w:pPr>
    </w:p>
    <w:p w:rsidR="00B7551A" w:rsidRPr="00FA66C2" w:rsidRDefault="00B7551A" w:rsidP="00705EFA">
      <w:pPr>
        <w:pStyle w:val="NoSpacing"/>
        <w:numPr>
          <w:ilvl w:val="0"/>
          <w:numId w:val="160"/>
        </w:numPr>
        <w:rPr>
          <w:sz w:val="24"/>
          <w:szCs w:val="24"/>
          <w:lang w:eastAsia="en-GB"/>
        </w:rPr>
      </w:pPr>
      <w:r w:rsidRPr="00FA66C2">
        <w:rPr>
          <w:sz w:val="24"/>
          <w:szCs w:val="24"/>
          <w:lang w:eastAsia="en-GB"/>
        </w:rPr>
        <w:t xml:space="preserve">The light vehicle work-streams have all slipped </w:t>
      </w:r>
      <w:r w:rsidR="00A6183F">
        <w:rPr>
          <w:sz w:val="24"/>
          <w:szCs w:val="24"/>
          <w:lang w:eastAsia="en-GB"/>
        </w:rPr>
        <w:t>and</w:t>
      </w:r>
      <w:r w:rsidRPr="00FA66C2">
        <w:rPr>
          <w:sz w:val="24"/>
          <w:szCs w:val="24"/>
          <w:lang w:eastAsia="en-GB"/>
        </w:rPr>
        <w:t xml:space="preserve"> are now forecast to be delivered early in 2018/19</w:t>
      </w:r>
      <w:r w:rsidR="00A6183F">
        <w:rPr>
          <w:sz w:val="24"/>
          <w:szCs w:val="24"/>
          <w:lang w:eastAsia="en-GB"/>
        </w:rPr>
        <w:t xml:space="preserve"> instead of 2017/18 as previously planned</w:t>
      </w:r>
      <w:r w:rsidRPr="00FA66C2">
        <w:rPr>
          <w:sz w:val="24"/>
          <w:szCs w:val="24"/>
          <w:lang w:eastAsia="en-GB"/>
        </w:rPr>
        <w:t>. There are a combination of reasons for the slippage involving LFB changes in user requirements and extended supplier lead times due to the demand for ultra low emission vehicles.</w:t>
      </w:r>
      <w:r w:rsidR="00A6183F">
        <w:rPr>
          <w:sz w:val="24"/>
          <w:szCs w:val="24"/>
          <w:lang w:eastAsia="en-GB"/>
        </w:rPr>
        <w:t xml:space="preserve"> </w:t>
      </w:r>
      <w:r w:rsidRPr="00FA66C2">
        <w:rPr>
          <w:sz w:val="24"/>
          <w:szCs w:val="24"/>
          <w:lang w:eastAsia="en-GB"/>
        </w:rPr>
        <w:t>This has resulted in £547k being deferred to 2018/19.</w:t>
      </w:r>
    </w:p>
    <w:p w:rsidR="00B7551A" w:rsidRPr="00A43A81" w:rsidRDefault="00B7551A" w:rsidP="00B7551A">
      <w:pPr>
        <w:pStyle w:val="NoSpacing"/>
        <w:rPr>
          <w:lang w:eastAsia="en-GB"/>
        </w:rPr>
      </w:pPr>
    </w:p>
    <w:p w:rsidR="00B7551A" w:rsidRDefault="00B7551A" w:rsidP="00705EFA">
      <w:pPr>
        <w:pStyle w:val="NoSpacing"/>
        <w:numPr>
          <w:ilvl w:val="0"/>
          <w:numId w:val="160"/>
        </w:numPr>
        <w:rPr>
          <w:sz w:val="24"/>
          <w:szCs w:val="24"/>
        </w:rPr>
      </w:pPr>
      <w:r w:rsidRPr="00C2271D">
        <w:rPr>
          <w:bCs/>
          <w:sz w:val="24"/>
          <w:szCs w:val="24"/>
        </w:rPr>
        <w:t>Appliance Bay Door Replacements</w:t>
      </w:r>
      <w:r w:rsidR="00C2271D">
        <w:rPr>
          <w:bCs/>
          <w:sz w:val="24"/>
          <w:szCs w:val="24"/>
        </w:rPr>
        <w:t xml:space="preserve"> - </w:t>
      </w:r>
      <w:r w:rsidRPr="00C2271D">
        <w:rPr>
          <w:sz w:val="24"/>
          <w:szCs w:val="24"/>
          <w:lang w:eastAsia="en-GB"/>
        </w:rPr>
        <w:t>A</w:t>
      </w:r>
      <w:r w:rsidRPr="00FA66C2">
        <w:rPr>
          <w:sz w:val="24"/>
          <w:szCs w:val="24"/>
          <w:lang w:eastAsia="en-GB"/>
        </w:rPr>
        <w:t xml:space="preserve"> delay in obtaining local authority planning permission</w:t>
      </w:r>
      <w:r w:rsidR="00C2271D">
        <w:rPr>
          <w:sz w:val="24"/>
          <w:szCs w:val="24"/>
          <w:lang w:eastAsia="en-GB"/>
        </w:rPr>
        <w:t xml:space="preserve"> for Shoreditch FS</w:t>
      </w:r>
      <w:r w:rsidRPr="00FA66C2">
        <w:rPr>
          <w:sz w:val="24"/>
          <w:szCs w:val="24"/>
          <w:lang w:eastAsia="en-GB"/>
        </w:rPr>
        <w:t xml:space="preserve"> has affected the project programme. Although planning permission has now been approved (4</w:t>
      </w:r>
      <w:r w:rsidRPr="00FA66C2">
        <w:rPr>
          <w:sz w:val="24"/>
          <w:szCs w:val="24"/>
          <w:vertAlign w:val="superscript"/>
          <w:lang w:eastAsia="en-GB"/>
        </w:rPr>
        <w:t>th</w:t>
      </w:r>
      <w:r w:rsidRPr="00FA66C2">
        <w:rPr>
          <w:sz w:val="24"/>
          <w:szCs w:val="24"/>
          <w:lang w:eastAsia="en-GB"/>
        </w:rPr>
        <w:t xml:space="preserve"> December 2017), the lengthy lead time for the manufacture of the doors has meant it will not be possible to deliver and install the new bay doors at Shoreditch by the end of this financial year</w:t>
      </w:r>
      <w:r w:rsidR="00E051E5">
        <w:rPr>
          <w:sz w:val="24"/>
          <w:szCs w:val="24"/>
          <w:lang w:eastAsia="en-GB"/>
        </w:rPr>
        <w:t xml:space="preserve">. </w:t>
      </w:r>
      <w:r w:rsidRPr="00FA66C2">
        <w:rPr>
          <w:sz w:val="24"/>
          <w:szCs w:val="24"/>
          <w:lang w:eastAsia="en-GB"/>
        </w:rPr>
        <w:t xml:space="preserve">£217k has </w:t>
      </w:r>
      <w:r w:rsidR="00E051E5">
        <w:rPr>
          <w:sz w:val="24"/>
          <w:szCs w:val="24"/>
          <w:lang w:eastAsia="en-GB"/>
        </w:rPr>
        <w:t xml:space="preserve">therefore </w:t>
      </w:r>
      <w:r w:rsidRPr="00FA66C2">
        <w:rPr>
          <w:sz w:val="24"/>
          <w:szCs w:val="24"/>
          <w:lang w:eastAsia="en-GB"/>
        </w:rPr>
        <w:t>been deferred to 2018/19</w:t>
      </w:r>
      <w:r w:rsidR="00E051E5">
        <w:rPr>
          <w:sz w:val="24"/>
          <w:szCs w:val="24"/>
          <w:lang w:eastAsia="en-GB"/>
        </w:rPr>
        <w:t xml:space="preserve">. At </w:t>
      </w:r>
      <w:r w:rsidRPr="003C001A">
        <w:rPr>
          <w:bCs/>
          <w:sz w:val="24"/>
          <w:szCs w:val="24"/>
        </w:rPr>
        <w:t>Wimbledon FS</w:t>
      </w:r>
      <w:r w:rsidR="00C2271D">
        <w:rPr>
          <w:sz w:val="24"/>
          <w:szCs w:val="24"/>
        </w:rPr>
        <w:t xml:space="preserve">, </w:t>
      </w:r>
      <w:r w:rsidR="00E051E5">
        <w:rPr>
          <w:sz w:val="24"/>
          <w:szCs w:val="24"/>
        </w:rPr>
        <w:t>t</w:t>
      </w:r>
      <w:r w:rsidRPr="00FA66C2">
        <w:rPr>
          <w:sz w:val="24"/>
          <w:szCs w:val="24"/>
        </w:rPr>
        <w:t xml:space="preserve">he contractor has now indicated that delivery of the doors to </w:t>
      </w:r>
      <w:r w:rsidR="0062328D">
        <w:rPr>
          <w:sz w:val="24"/>
          <w:szCs w:val="24"/>
        </w:rPr>
        <w:t xml:space="preserve">the </w:t>
      </w:r>
      <w:r w:rsidRPr="00FA66C2">
        <w:rPr>
          <w:sz w:val="24"/>
          <w:szCs w:val="24"/>
        </w:rPr>
        <w:t xml:space="preserve">site is anticipated at the end of March, </w:t>
      </w:r>
      <w:r w:rsidR="00E051E5">
        <w:rPr>
          <w:sz w:val="24"/>
          <w:szCs w:val="24"/>
        </w:rPr>
        <w:t xml:space="preserve">with </w:t>
      </w:r>
      <w:r w:rsidRPr="00FA66C2">
        <w:rPr>
          <w:sz w:val="24"/>
          <w:szCs w:val="24"/>
        </w:rPr>
        <w:t xml:space="preserve"> installation </w:t>
      </w:r>
      <w:r w:rsidR="00E051E5">
        <w:rPr>
          <w:sz w:val="24"/>
          <w:szCs w:val="24"/>
        </w:rPr>
        <w:t xml:space="preserve">to be completed early in </w:t>
      </w:r>
      <w:r w:rsidRPr="00FA66C2">
        <w:rPr>
          <w:sz w:val="24"/>
          <w:szCs w:val="24"/>
        </w:rPr>
        <w:t>the new financial year.</w:t>
      </w:r>
      <w:r w:rsidR="0062328D">
        <w:rPr>
          <w:sz w:val="24"/>
          <w:szCs w:val="24"/>
        </w:rPr>
        <w:t xml:space="preserve"> </w:t>
      </w:r>
      <w:r w:rsidRPr="00FA66C2">
        <w:rPr>
          <w:sz w:val="24"/>
          <w:szCs w:val="24"/>
        </w:rPr>
        <w:t xml:space="preserve">Accordingly, £58k has been deferred to 2018/19. </w:t>
      </w:r>
    </w:p>
    <w:p w:rsidR="00B7551A" w:rsidRPr="00FA66C2" w:rsidRDefault="00B7551A" w:rsidP="00B7551A">
      <w:pPr>
        <w:pStyle w:val="NoSpacing"/>
        <w:rPr>
          <w:sz w:val="24"/>
          <w:szCs w:val="24"/>
        </w:rPr>
      </w:pPr>
    </w:p>
    <w:p w:rsidR="00B7551A" w:rsidRPr="00FA66C2" w:rsidRDefault="00B7551A" w:rsidP="00705EFA">
      <w:pPr>
        <w:pStyle w:val="NoSpacing"/>
        <w:numPr>
          <w:ilvl w:val="0"/>
          <w:numId w:val="160"/>
        </w:numPr>
        <w:rPr>
          <w:rFonts w:ascii="Calibri" w:hAnsi="Calibri"/>
          <w:sz w:val="24"/>
          <w:szCs w:val="24"/>
        </w:rPr>
      </w:pPr>
      <w:r w:rsidRPr="003C001A">
        <w:rPr>
          <w:bCs/>
          <w:sz w:val="24"/>
          <w:szCs w:val="24"/>
        </w:rPr>
        <w:t xml:space="preserve">Minor works </w:t>
      </w:r>
      <w:r w:rsidR="003C001A">
        <w:rPr>
          <w:bCs/>
          <w:sz w:val="24"/>
          <w:szCs w:val="24"/>
        </w:rPr>
        <w:t>(</w:t>
      </w:r>
      <w:r w:rsidRPr="003C001A">
        <w:rPr>
          <w:bCs/>
          <w:sz w:val="24"/>
          <w:szCs w:val="24"/>
        </w:rPr>
        <w:t>Eltham FS Shower refurbishment</w:t>
      </w:r>
      <w:r w:rsidR="003C001A">
        <w:rPr>
          <w:bCs/>
          <w:sz w:val="24"/>
          <w:szCs w:val="24"/>
        </w:rPr>
        <w:t>)</w:t>
      </w:r>
      <w:r w:rsidRPr="00FA66C2">
        <w:rPr>
          <w:sz w:val="24"/>
          <w:szCs w:val="24"/>
        </w:rPr>
        <w:t xml:space="preserve"> - </w:t>
      </w:r>
      <w:r w:rsidRPr="00FA66C2">
        <w:rPr>
          <w:sz w:val="24"/>
          <w:szCs w:val="24"/>
          <w:lang w:eastAsia="en-GB"/>
        </w:rPr>
        <w:t xml:space="preserve">A number of design/engineering queries have been raised which </w:t>
      </w:r>
      <w:r w:rsidR="00E051E5">
        <w:rPr>
          <w:sz w:val="24"/>
          <w:szCs w:val="24"/>
          <w:lang w:eastAsia="en-GB"/>
        </w:rPr>
        <w:t xml:space="preserve">need to be addressed </w:t>
      </w:r>
      <w:r w:rsidRPr="00FA66C2">
        <w:rPr>
          <w:sz w:val="24"/>
          <w:szCs w:val="24"/>
          <w:lang w:eastAsia="en-GB"/>
        </w:rPr>
        <w:t xml:space="preserve">following </w:t>
      </w:r>
      <w:r w:rsidR="00E051E5">
        <w:rPr>
          <w:sz w:val="24"/>
          <w:szCs w:val="24"/>
          <w:lang w:eastAsia="en-GB"/>
        </w:rPr>
        <w:t xml:space="preserve">the </w:t>
      </w:r>
      <w:r w:rsidRPr="00FA66C2">
        <w:rPr>
          <w:sz w:val="24"/>
          <w:szCs w:val="24"/>
          <w:lang w:eastAsia="en-GB"/>
        </w:rPr>
        <w:t xml:space="preserve">issue of the draft tender documentation by the consultant. This has impacted on the project programme  and delayed the estimated commencement of works into 2018/19.  £108k has been deferred to 2018/19 for this project. </w:t>
      </w:r>
    </w:p>
    <w:p w:rsidR="00B7551A" w:rsidRPr="00A43A81" w:rsidRDefault="00B7551A" w:rsidP="00B7551A">
      <w:pPr>
        <w:spacing w:after="0" w:line="240" w:lineRule="auto"/>
        <w:ind w:left="720"/>
        <w:rPr>
          <w:rFonts w:ascii="Calibri" w:eastAsiaTheme="minorHAnsi" w:hAnsi="Calibri"/>
          <w:szCs w:val="22"/>
        </w:rPr>
      </w:pPr>
    </w:p>
    <w:p w:rsidR="00B7551A" w:rsidRPr="00A43A81" w:rsidRDefault="00B7551A" w:rsidP="00705EFA">
      <w:pPr>
        <w:numPr>
          <w:ilvl w:val="0"/>
          <w:numId w:val="160"/>
        </w:numPr>
        <w:spacing w:after="0" w:line="240" w:lineRule="auto"/>
        <w:rPr>
          <w:rFonts w:eastAsiaTheme="minorHAnsi"/>
          <w:sz w:val="24"/>
        </w:rPr>
      </w:pPr>
      <w:r w:rsidRPr="003C001A">
        <w:rPr>
          <w:rFonts w:eastAsiaTheme="minorHAnsi"/>
          <w:bCs/>
          <w:sz w:val="24"/>
        </w:rPr>
        <w:t>Minor works</w:t>
      </w:r>
      <w:r w:rsidR="003C001A">
        <w:rPr>
          <w:rFonts w:eastAsiaTheme="minorHAnsi"/>
          <w:bCs/>
          <w:sz w:val="24"/>
        </w:rPr>
        <w:t xml:space="preserve"> (</w:t>
      </w:r>
      <w:r w:rsidRPr="003C001A">
        <w:rPr>
          <w:rFonts w:eastAsiaTheme="minorHAnsi"/>
          <w:bCs/>
          <w:sz w:val="24"/>
        </w:rPr>
        <w:t>Fulham FS Automated gates and fire safety works</w:t>
      </w:r>
      <w:r w:rsidR="003C001A">
        <w:rPr>
          <w:rFonts w:eastAsiaTheme="minorHAnsi"/>
          <w:bCs/>
          <w:sz w:val="24"/>
        </w:rPr>
        <w:t>)</w:t>
      </w:r>
      <w:r w:rsidRPr="00A43A81">
        <w:rPr>
          <w:rFonts w:eastAsiaTheme="minorHAnsi"/>
          <w:sz w:val="24"/>
        </w:rPr>
        <w:t xml:space="preserve"> – </w:t>
      </w:r>
      <w:r w:rsidR="003C001A">
        <w:rPr>
          <w:rFonts w:eastAsiaTheme="minorHAnsi"/>
          <w:sz w:val="24"/>
        </w:rPr>
        <w:t>De</w:t>
      </w:r>
      <w:r w:rsidRPr="00A43A81">
        <w:rPr>
          <w:rFonts w:eastAsiaTheme="minorHAnsi"/>
          <w:sz w:val="24"/>
        </w:rPr>
        <w:t>lays in obtaining planning consent required due to the building being listed, ha</w:t>
      </w:r>
      <w:r w:rsidR="00E051E5">
        <w:rPr>
          <w:rFonts w:eastAsiaTheme="minorHAnsi"/>
          <w:sz w:val="24"/>
        </w:rPr>
        <w:t>ve</w:t>
      </w:r>
      <w:r w:rsidRPr="00A43A81">
        <w:rPr>
          <w:rFonts w:eastAsiaTheme="minorHAnsi"/>
          <w:sz w:val="24"/>
        </w:rPr>
        <w:t xml:space="preserve"> resulted in a delay </w:t>
      </w:r>
      <w:r w:rsidR="003C001A">
        <w:rPr>
          <w:rFonts w:eastAsiaTheme="minorHAnsi"/>
          <w:sz w:val="24"/>
        </w:rPr>
        <w:t xml:space="preserve">in commencing </w:t>
      </w:r>
      <w:r w:rsidRPr="00A43A81">
        <w:rPr>
          <w:rFonts w:eastAsiaTheme="minorHAnsi"/>
          <w:sz w:val="24"/>
        </w:rPr>
        <w:t>the heating replacement project at this site.  In order to minimise additional  disruption at the site, the works to replace the automated gates (£60k) and the fire safety works (£47k) have been deferred to 2018/19.</w:t>
      </w:r>
    </w:p>
    <w:p w:rsidR="00B7551A" w:rsidRPr="00FA66C2" w:rsidRDefault="00B7551A" w:rsidP="00B7551A">
      <w:pPr>
        <w:spacing w:after="0" w:line="240" w:lineRule="auto"/>
        <w:ind w:left="720"/>
        <w:rPr>
          <w:rFonts w:eastAsiaTheme="minorHAnsi"/>
          <w:sz w:val="24"/>
        </w:rPr>
      </w:pPr>
    </w:p>
    <w:p w:rsidR="00B7551A" w:rsidRPr="00FA66C2" w:rsidRDefault="000C010A" w:rsidP="00705EFA">
      <w:pPr>
        <w:numPr>
          <w:ilvl w:val="0"/>
          <w:numId w:val="160"/>
        </w:numPr>
        <w:spacing w:after="0" w:line="240" w:lineRule="auto"/>
        <w:rPr>
          <w:rFonts w:eastAsiaTheme="minorHAnsi"/>
          <w:sz w:val="24"/>
        </w:rPr>
      </w:pPr>
      <w:r w:rsidRPr="000C010A">
        <w:rPr>
          <w:rFonts w:eastAsiaTheme="minorHAnsi"/>
          <w:sz w:val="24"/>
        </w:rPr>
        <w:t>Mobile Data Terminals (MDT’s</w:t>
      </w:r>
      <w:r>
        <w:rPr>
          <w:rFonts w:eastAsiaTheme="minorHAnsi"/>
          <w:sz w:val="24"/>
        </w:rPr>
        <w:t>) – A budget</w:t>
      </w:r>
      <w:r w:rsidR="00B7551A" w:rsidRPr="00FA66C2">
        <w:rPr>
          <w:rFonts w:eastAsiaTheme="minorHAnsi"/>
          <w:sz w:val="24"/>
        </w:rPr>
        <w:t xml:space="preserve"> of £2,100k for the replacement of MDT’s</w:t>
      </w:r>
      <w:r>
        <w:rPr>
          <w:rFonts w:eastAsiaTheme="minorHAnsi"/>
          <w:sz w:val="24"/>
        </w:rPr>
        <w:t xml:space="preserve"> was approved in September 2014 (FEP2314). As previously reported in September (FEP2792), </w:t>
      </w:r>
      <w:r w:rsidR="00E051E5">
        <w:rPr>
          <w:rFonts w:eastAsiaTheme="minorHAnsi"/>
          <w:sz w:val="24"/>
        </w:rPr>
        <w:t xml:space="preserve">130 of the units purchased </w:t>
      </w:r>
      <w:r w:rsidR="00B7551A" w:rsidRPr="00FA66C2">
        <w:rPr>
          <w:rFonts w:eastAsiaTheme="minorHAnsi"/>
          <w:sz w:val="24"/>
        </w:rPr>
        <w:t>were stolen</w:t>
      </w:r>
      <w:r w:rsidR="00AE43B3">
        <w:rPr>
          <w:rFonts w:eastAsiaTheme="minorHAnsi"/>
          <w:sz w:val="24"/>
        </w:rPr>
        <w:t>. A</w:t>
      </w:r>
      <w:r w:rsidR="00B7551A" w:rsidRPr="00FA66C2">
        <w:rPr>
          <w:rFonts w:eastAsiaTheme="minorHAnsi"/>
          <w:sz w:val="24"/>
        </w:rPr>
        <w:t>n insurance claim has been submitted for these items.</w:t>
      </w:r>
      <w:r w:rsidR="00AE43B3">
        <w:rPr>
          <w:rFonts w:eastAsiaTheme="minorHAnsi"/>
          <w:sz w:val="24"/>
        </w:rPr>
        <w:t xml:space="preserve"> </w:t>
      </w:r>
      <w:r w:rsidR="00B7551A" w:rsidRPr="00FA66C2">
        <w:rPr>
          <w:rFonts w:eastAsiaTheme="minorHAnsi"/>
          <w:sz w:val="24"/>
        </w:rPr>
        <w:t>The project has now re-started and the roll out of the new MDT terminals (an upgraded version) is planned to complete by August 2018.  £71k</w:t>
      </w:r>
      <w:r w:rsidR="00AE43B3">
        <w:rPr>
          <w:rFonts w:eastAsiaTheme="minorHAnsi"/>
          <w:sz w:val="24"/>
        </w:rPr>
        <w:t xml:space="preserve"> is being</w:t>
      </w:r>
      <w:r w:rsidR="00B7551A" w:rsidRPr="00FA66C2">
        <w:rPr>
          <w:rFonts w:eastAsiaTheme="minorHAnsi"/>
          <w:sz w:val="24"/>
        </w:rPr>
        <w:t xml:space="preserve"> carried forward to 2018/19 to cover vehicle installations. In addition, the final project cost of the project is now £2,100k, a reduction of £160k against the previous forecast. This amendment is a</w:t>
      </w:r>
      <w:r w:rsidR="00AE43B3">
        <w:rPr>
          <w:rFonts w:eastAsiaTheme="minorHAnsi"/>
          <w:sz w:val="24"/>
        </w:rPr>
        <w:t xml:space="preserve">s a result </w:t>
      </w:r>
      <w:r w:rsidR="00B7551A" w:rsidRPr="00FA66C2">
        <w:rPr>
          <w:rFonts w:eastAsiaTheme="minorHAnsi"/>
          <w:sz w:val="24"/>
        </w:rPr>
        <w:t>of the accounting adjustments required for the stolen equipment. </w:t>
      </w:r>
    </w:p>
    <w:p w:rsidR="00B7551A" w:rsidRPr="00FA66C2" w:rsidRDefault="00B7551A" w:rsidP="00B7551A">
      <w:pPr>
        <w:spacing w:after="0" w:line="240" w:lineRule="auto"/>
        <w:ind w:left="720"/>
        <w:rPr>
          <w:rFonts w:eastAsiaTheme="minorHAnsi"/>
          <w:sz w:val="24"/>
        </w:rPr>
      </w:pPr>
    </w:p>
    <w:p w:rsidR="00B7551A" w:rsidRPr="00FA66C2" w:rsidRDefault="00B7551A" w:rsidP="00705EFA">
      <w:pPr>
        <w:numPr>
          <w:ilvl w:val="0"/>
          <w:numId w:val="160"/>
        </w:numPr>
        <w:spacing w:after="0" w:line="240" w:lineRule="auto"/>
        <w:rPr>
          <w:rFonts w:eastAsiaTheme="minorHAnsi"/>
          <w:szCs w:val="22"/>
        </w:rPr>
      </w:pPr>
      <w:r w:rsidRPr="00FA66C2">
        <w:rPr>
          <w:rFonts w:eastAsiaTheme="minorHAnsi"/>
          <w:sz w:val="24"/>
        </w:rPr>
        <w:t xml:space="preserve">Control and Mobilising Systems (CAMS) – the additional developments planned to be undertaken during 2017/18 have now been deferred to 2018/19, whilst the </w:t>
      </w:r>
      <w:r w:rsidR="0083306A">
        <w:rPr>
          <w:rFonts w:eastAsiaTheme="minorHAnsi"/>
          <w:sz w:val="24"/>
        </w:rPr>
        <w:t xml:space="preserve">current </w:t>
      </w:r>
      <w:r w:rsidRPr="00FA66C2">
        <w:rPr>
          <w:rFonts w:eastAsiaTheme="minorHAnsi"/>
          <w:sz w:val="24"/>
        </w:rPr>
        <w:t xml:space="preserve">issues </w:t>
      </w:r>
      <w:r w:rsidR="0083306A">
        <w:rPr>
          <w:rFonts w:eastAsiaTheme="minorHAnsi"/>
          <w:sz w:val="24"/>
        </w:rPr>
        <w:t xml:space="preserve">with the </w:t>
      </w:r>
      <w:r w:rsidRPr="00FA66C2">
        <w:rPr>
          <w:rFonts w:eastAsiaTheme="minorHAnsi"/>
          <w:sz w:val="24"/>
        </w:rPr>
        <w:t>system are resolved.</w:t>
      </w:r>
      <w:r w:rsidR="00646034">
        <w:rPr>
          <w:rFonts w:eastAsiaTheme="minorHAnsi"/>
          <w:sz w:val="24"/>
        </w:rPr>
        <w:t xml:space="preserve"> </w:t>
      </w:r>
      <w:r w:rsidRPr="00FA66C2">
        <w:rPr>
          <w:rFonts w:eastAsiaTheme="minorHAnsi"/>
          <w:sz w:val="24"/>
        </w:rPr>
        <w:t xml:space="preserve"> £100k has been deferred to 2018/19</w:t>
      </w:r>
      <w:r w:rsidRPr="00FA66C2">
        <w:rPr>
          <w:rFonts w:eastAsiaTheme="minorHAnsi"/>
          <w:szCs w:val="22"/>
        </w:rPr>
        <w:t>.</w:t>
      </w:r>
    </w:p>
    <w:p w:rsidR="00B7551A" w:rsidRPr="00A43A81" w:rsidRDefault="00B7551A" w:rsidP="00B7551A">
      <w:pPr>
        <w:spacing w:after="0" w:line="240" w:lineRule="auto"/>
        <w:ind w:left="720"/>
        <w:rPr>
          <w:rFonts w:eastAsiaTheme="minorHAnsi"/>
          <w:color w:val="FF0000"/>
          <w:sz w:val="24"/>
        </w:rPr>
      </w:pPr>
    </w:p>
    <w:p w:rsidR="00C97454" w:rsidRDefault="00B7551A" w:rsidP="00705EFA">
      <w:pPr>
        <w:numPr>
          <w:ilvl w:val="0"/>
          <w:numId w:val="160"/>
        </w:numPr>
        <w:spacing w:after="0" w:line="240" w:lineRule="auto"/>
        <w:rPr>
          <w:rFonts w:eastAsiaTheme="minorHAnsi"/>
          <w:sz w:val="24"/>
        </w:rPr>
      </w:pPr>
      <w:r w:rsidRPr="00FA66C2">
        <w:rPr>
          <w:rFonts w:eastAsiaTheme="minorHAnsi"/>
          <w:sz w:val="24"/>
        </w:rPr>
        <w:t xml:space="preserve">Wireless LAN Controllers - the initial cost estimates have been revised </w:t>
      </w:r>
      <w:r w:rsidR="00646034">
        <w:rPr>
          <w:rFonts w:eastAsiaTheme="minorHAnsi"/>
          <w:sz w:val="24"/>
        </w:rPr>
        <w:t xml:space="preserve">to £120k </w:t>
      </w:r>
      <w:r w:rsidRPr="00FA66C2">
        <w:rPr>
          <w:rFonts w:eastAsiaTheme="minorHAnsi"/>
          <w:sz w:val="24"/>
        </w:rPr>
        <w:t>following the successful tendering of this project</w:t>
      </w:r>
      <w:r w:rsidR="00646034">
        <w:rPr>
          <w:rFonts w:eastAsiaTheme="minorHAnsi"/>
          <w:sz w:val="24"/>
        </w:rPr>
        <w:t>. T</w:t>
      </w:r>
      <w:r w:rsidRPr="00FA66C2">
        <w:rPr>
          <w:rFonts w:eastAsiaTheme="minorHAnsi"/>
          <w:sz w:val="24"/>
        </w:rPr>
        <w:t xml:space="preserve">he original budget </w:t>
      </w:r>
      <w:r w:rsidR="00646034">
        <w:rPr>
          <w:rFonts w:eastAsiaTheme="minorHAnsi"/>
          <w:sz w:val="24"/>
        </w:rPr>
        <w:t xml:space="preserve">was </w:t>
      </w:r>
      <w:r w:rsidRPr="00FA66C2">
        <w:rPr>
          <w:rFonts w:eastAsiaTheme="minorHAnsi"/>
          <w:sz w:val="24"/>
        </w:rPr>
        <w:t xml:space="preserve"> £198k calculated using published list prices</w:t>
      </w:r>
      <w:r w:rsidR="00164CED">
        <w:rPr>
          <w:rFonts w:eastAsiaTheme="minorHAnsi"/>
          <w:sz w:val="24"/>
        </w:rPr>
        <w:t>. The</w:t>
      </w:r>
      <w:r w:rsidRPr="00FA66C2">
        <w:rPr>
          <w:rFonts w:eastAsiaTheme="minorHAnsi"/>
          <w:sz w:val="24"/>
        </w:rPr>
        <w:t xml:space="preserve"> tender process </w:t>
      </w:r>
      <w:r w:rsidR="00164CED">
        <w:rPr>
          <w:rFonts w:eastAsiaTheme="minorHAnsi"/>
          <w:sz w:val="24"/>
        </w:rPr>
        <w:t xml:space="preserve">has resulted in </w:t>
      </w:r>
      <w:r w:rsidRPr="00FA66C2">
        <w:rPr>
          <w:rFonts w:eastAsiaTheme="minorHAnsi"/>
          <w:sz w:val="24"/>
        </w:rPr>
        <w:t xml:space="preserve">a 40% discount </w:t>
      </w:r>
      <w:r w:rsidR="00164CED">
        <w:rPr>
          <w:rFonts w:eastAsiaTheme="minorHAnsi"/>
          <w:sz w:val="24"/>
        </w:rPr>
        <w:t>being</w:t>
      </w:r>
      <w:r w:rsidRPr="00FA66C2">
        <w:rPr>
          <w:rFonts w:eastAsiaTheme="minorHAnsi"/>
          <w:sz w:val="24"/>
        </w:rPr>
        <w:t xml:space="preserve"> achieved, a saving of £78k which has been offset against the ICT over programming provision.</w:t>
      </w:r>
    </w:p>
    <w:p w:rsidR="00B7551A" w:rsidRPr="00164CED" w:rsidRDefault="00B7551A" w:rsidP="00164CED">
      <w:pPr>
        <w:spacing w:after="0" w:line="240" w:lineRule="auto"/>
        <w:ind w:left="720"/>
        <w:rPr>
          <w:rFonts w:eastAsiaTheme="minorHAnsi"/>
          <w:sz w:val="24"/>
        </w:rPr>
      </w:pPr>
    </w:p>
    <w:p w:rsidR="00B7551A" w:rsidRDefault="00B7551A" w:rsidP="00705EFA">
      <w:pPr>
        <w:numPr>
          <w:ilvl w:val="0"/>
          <w:numId w:val="160"/>
        </w:numPr>
        <w:spacing w:after="0" w:line="240" w:lineRule="auto"/>
        <w:rPr>
          <w:rFonts w:eastAsiaTheme="minorHAnsi"/>
          <w:sz w:val="24"/>
        </w:rPr>
      </w:pPr>
      <w:r w:rsidRPr="00FA66C2">
        <w:rPr>
          <w:rFonts w:eastAsiaTheme="minorHAnsi"/>
          <w:sz w:val="24"/>
        </w:rPr>
        <w:t>The development budget is a ‘revolving fund’ of £250k which is used for feasibility studies for potential future works.  Costs have been charged to the relevant capital project budgets and abortive costs are recharged to the revenue budget for projects which have not resulted in capital works being undertaken.  It is now projected that</w:t>
      </w:r>
      <w:r w:rsidR="00164CED">
        <w:rPr>
          <w:rFonts w:eastAsiaTheme="minorHAnsi"/>
          <w:sz w:val="24"/>
        </w:rPr>
        <w:t xml:space="preserve"> </w:t>
      </w:r>
      <w:r w:rsidRPr="00FA66C2">
        <w:rPr>
          <w:rFonts w:eastAsiaTheme="minorHAnsi"/>
          <w:sz w:val="24"/>
        </w:rPr>
        <w:t xml:space="preserve">there will be an underspend of £77k for this generic budget in 2017/18.    </w:t>
      </w:r>
    </w:p>
    <w:p w:rsidR="00B7551A" w:rsidRDefault="00B7551A" w:rsidP="00B7551A">
      <w:pPr>
        <w:spacing w:after="0"/>
        <w:ind w:left="720"/>
        <w:rPr>
          <w:sz w:val="24"/>
          <w:u w:val="single"/>
          <w:lang w:eastAsia="en-GB"/>
        </w:rPr>
      </w:pPr>
    </w:p>
    <w:p w:rsidR="00B7551A" w:rsidRPr="00A43A81" w:rsidRDefault="00B7551A" w:rsidP="00164CED">
      <w:pPr>
        <w:spacing w:after="0" w:line="240" w:lineRule="auto"/>
        <w:contextualSpacing/>
        <w:rPr>
          <w:sz w:val="24"/>
          <w:u w:val="single"/>
          <w:lang w:eastAsia="en-GB"/>
        </w:rPr>
      </w:pPr>
      <w:r w:rsidRPr="00164CED">
        <w:rPr>
          <w:b/>
          <w:sz w:val="24"/>
          <w:lang w:eastAsia="en-GB"/>
        </w:rPr>
        <w:t xml:space="preserve">Future Years </w:t>
      </w:r>
      <w:r w:rsidRPr="00A43A81">
        <w:rPr>
          <w:sz w:val="24"/>
          <w:u w:val="single"/>
          <w:lang w:eastAsia="en-GB"/>
        </w:rPr>
        <w:t xml:space="preserve">                                                                                                                                                                                                  </w:t>
      </w:r>
    </w:p>
    <w:p w:rsidR="00B7551A" w:rsidRDefault="00B7551A" w:rsidP="00705EFA">
      <w:pPr>
        <w:pStyle w:val="NoSpacing"/>
        <w:numPr>
          <w:ilvl w:val="0"/>
          <w:numId w:val="160"/>
        </w:numPr>
        <w:rPr>
          <w:sz w:val="24"/>
          <w:szCs w:val="24"/>
          <w:lang w:eastAsia="en-GB"/>
        </w:rPr>
      </w:pPr>
      <w:r w:rsidRPr="00FA66C2">
        <w:rPr>
          <w:sz w:val="24"/>
          <w:szCs w:val="24"/>
          <w:lang w:eastAsia="en-GB"/>
        </w:rPr>
        <w:t>Capital funding of £3</w:t>
      </w:r>
      <w:r w:rsidR="00DA1C88">
        <w:rPr>
          <w:sz w:val="24"/>
          <w:szCs w:val="24"/>
          <w:lang w:eastAsia="en-GB"/>
        </w:rPr>
        <w:t>,</w:t>
      </w:r>
      <w:r w:rsidRPr="00FA66C2">
        <w:rPr>
          <w:sz w:val="24"/>
          <w:szCs w:val="24"/>
          <w:lang w:eastAsia="en-GB"/>
        </w:rPr>
        <w:t>45</w:t>
      </w:r>
      <w:r w:rsidR="00DA1C88">
        <w:rPr>
          <w:sz w:val="24"/>
          <w:szCs w:val="24"/>
          <w:lang w:eastAsia="en-GB"/>
        </w:rPr>
        <w:t>0k</w:t>
      </w:r>
      <w:r w:rsidRPr="00FA66C2">
        <w:rPr>
          <w:sz w:val="24"/>
          <w:szCs w:val="24"/>
          <w:lang w:eastAsia="en-GB"/>
        </w:rPr>
        <w:t xml:space="preserve"> </w:t>
      </w:r>
      <w:r w:rsidR="00DA1C88">
        <w:rPr>
          <w:sz w:val="24"/>
          <w:szCs w:val="24"/>
          <w:lang w:eastAsia="en-GB"/>
        </w:rPr>
        <w:t>was approved</w:t>
      </w:r>
      <w:r w:rsidRPr="00FA66C2">
        <w:rPr>
          <w:sz w:val="24"/>
          <w:szCs w:val="24"/>
          <w:lang w:eastAsia="en-GB"/>
        </w:rPr>
        <w:t xml:space="preserve"> for the PG/BDC Development project </w:t>
      </w:r>
      <w:r w:rsidR="00DA1C88">
        <w:rPr>
          <w:sz w:val="24"/>
          <w:szCs w:val="24"/>
          <w:lang w:eastAsia="en-GB"/>
        </w:rPr>
        <w:t>in</w:t>
      </w:r>
      <w:r w:rsidRPr="00FA66C2">
        <w:rPr>
          <w:sz w:val="24"/>
          <w:szCs w:val="24"/>
          <w:lang w:eastAsia="en-GB"/>
        </w:rPr>
        <w:t xml:space="preserve"> July 2017</w:t>
      </w:r>
      <w:r w:rsidR="00DA1C88">
        <w:rPr>
          <w:sz w:val="24"/>
          <w:szCs w:val="24"/>
          <w:lang w:eastAsia="en-GB"/>
        </w:rPr>
        <w:t xml:space="preserve"> </w:t>
      </w:r>
      <w:r w:rsidRPr="00FA66C2">
        <w:rPr>
          <w:sz w:val="24"/>
          <w:szCs w:val="24"/>
          <w:lang w:eastAsia="en-GB"/>
        </w:rPr>
        <w:t>(FEP2757). The project is now progressing with an identified site</w:t>
      </w:r>
      <w:r w:rsidR="00DA1C88">
        <w:rPr>
          <w:sz w:val="24"/>
          <w:szCs w:val="24"/>
          <w:lang w:eastAsia="en-GB"/>
        </w:rPr>
        <w:t xml:space="preserve">. </w:t>
      </w:r>
      <w:r w:rsidRPr="00FA66C2">
        <w:rPr>
          <w:sz w:val="24"/>
          <w:szCs w:val="24"/>
          <w:lang w:eastAsia="en-GB"/>
        </w:rPr>
        <w:t>The project budget has increased due to a greater level of required mechanical and electrical services (such as plant and equipment for heating, ventilation, electrical supply, and specialist gas and air systems) than previously anticipated.</w:t>
      </w:r>
      <w:r w:rsidR="000E50A5">
        <w:rPr>
          <w:sz w:val="24"/>
          <w:szCs w:val="24"/>
          <w:lang w:eastAsia="en-GB"/>
        </w:rPr>
        <w:t xml:space="preserve"> </w:t>
      </w:r>
      <w:r w:rsidRPr="00FA66C2">
        <w:rPr>
          <w:sz w:val="24"/>
          <w:szCs w:val="24"/>
          <w:lang w:eastAsia="en-GB"/>
        </w:rPr>
        <w:t>In addition, the proposed site requires greater external works than previously anticipated, as it has two yards requiring two new vehicle gates. The capital requirement is now £4</w:t>
      </w:r>
      <w:r w:rsidR="000E50A5">
        <w:rPr>
          <w:sz w:val="24"/>
          <w:szCs w:val="24"/>
          <w:lang w:eastAsia="en-GB"/>
        </w:rPr>
        <w:t>,000k</w:t>
      </w:r>
      <w:r w:rsidRPr="00FA66C2">
        <w:rPr>
          <w:sz w:val="24"/>
          <w:szCs w:val="24"/>
          <w:lang w:eastAsia="en-GB"/>
        </w:rPr>
        <w:t xml:space="preserve"> an increase of £550k</w:t>
      </w:r>
      <w:r w:rsidR="000E50A5">
        <w:rPr>
          <w:sz w:val="24"/>
          <w:szCs w:val="24"/>
          <w:lang w:eastAsia="en-GB"/>
        </w:rPr>
        <w:t>,</w:t>
      </w:r>
      <w:r w:rsidRPr="00FA66C2">
        <w:rPr>
          <w:sz w:val="24"/>
          <w:szCs w:val="24"/>
          <w:lang w:eastAsia="en-GB"/>
        </w:rPr>
        <w:t xml:space="preserve"> </w:t>
      </w:r>
      <w:r w:rsidR="000D0059">
        <w:rPr>
          <w:sz w:val="24"/>
          <w:szCs w:val="24"/>
          <w:lang w:eastAsia="en-GB"/>
        </w:rPr>
        <w:t xml:space="preserve">as </w:t>
      </w:r>
      <w:r w:rsidRPr="00FA66C2">
        <w:rPr>
          <w:sz w:val="24"/>
          <w:szCs w:val="24"/>
          <w:lang w:eastAsia="en-GB"/>
        </w:rPr>
        <w:t>approved at the Resources Committee</w:t>
      </w:r>
      <w:r w:rsidR="000E50A5">
        <w:rPr>
          <w:sz w:val="24"/>
          <w:szCs w:val="24"/>
          <w:lang w:eastAsia="en-GB"/>
        </w:rPr>
        <w:t xml:space="preserve"> meeting</w:t>
      </w:r>
      <w:r w:rsidRPr="00FA66C2">
        <w:rPr>
          <w:sz w:val="24"/>
          <w:szCs w:val="24"/>
          <w:lang w:eastAsia="en-GB"/>
        </w:rPr>
        <w:t xml:space="preserve"> in January 2018 (FEP2812).</w:t>
      </w:r>
    </w:p>
    <w:p w:rsidR="00B7551A" w:rsidRPr="00FA66C2" w:rsidRDefault="00B7551A" w:rsidP="00B7551A">
      <w:pPr>
        <w:pStyle w:val="NoSpacing"/>
        <w:ind w:firstLine="45"/>
        <w:rPr>
          <w:sz w:val="24"/>
          <w:szCs w:val="24"/>
          <w:lang w:eastAsia="en-GB"/>
        </w:rPr>
      </w:pPr>
    </w:p>
    <w:p w:rsidR="00B7551A" w:rsidRDefault="000D0059" w:rsidP="00705EFA">
      <w:pPr>
        <w:pStyle w:val="NoSpacing"/>
        <w:numPr>
          <w:ilvl w:val="0"/>
          <w:numId w:val="160"/>
        </w:numPr>
        <w:rPr>
          <w:sz w:val="24"/>
          <w:szCs w:val="24"/>
          <w:lang w:eastAsia="en-GB"/>
        </w:rPr>
      </w:pPr>
      <w:r>
        <w:rPr>
          <w:sz w:val="24"/>
          <w:szCs w:val="24"/>
          <w:lang w:eastAsia="en-GB"/>
        </w:rPr>
        <w:t>At its last m</w:t>
      </w:r>
      <w:r w:rsidR="00AC4FE4">
        <w:rPr>
          <w:sz w:val="24"/>
          <w:szCs w:val="24"/>
          <w:lang w:eastAsia="en-GB"/>
        </w:rPr>
        <w:t>e</w:t>
      </w:r>
      <w:r>
        <w:rPr>
          <w:sz w:val="24"/>
          <w:szCs w:val="24"/>
          <w:lang w:eastAsia="en-GB"/>
        </w:rPr>
        <w:t xml:space="preserve">eting in January (FEP 2813) the Resources Committee approved funding </w:t>
      </w:r>
      <w:r w:rsidR="00B7551A" w:rsidRPr="00FA66C2">
        <w:rPr>
          <w:sz w:val="24"/>
          <w:szCs w:val="24"/>
          <w:lang w:eastAsia="en-GB"/>
        </w:rPr>
        <w:t>to procure a combination of standard range and extended range aerial appliances giving a total of 15</w:t>
      </w:r>
      <w:r w:rsidR="000E50A5">
        <w:rPr>
          <w:sz w:val="24"/>
          <w:szCs w:val="24"/>
          <w:lang w:eastAsia="en-GB"/>
        </w:rPr>
        <w:t xml:space="preserve"> </w:t>
      </w:r>
      <w:r w:rsidR="00B7551A" w:rsidRPr="00FA66C2">
        <w:rPr>
          <w:sz w:val="24"/>
          <w:szCs w:val="24"/>
          <w:lang w:eastAsia="en-GB"/>
        </w:rPr>
        <w:t xml:space="preserve">aerial appliances estimated </w:t>
      </w:r>
      <w:r w:rsidR="000E50A5">
        <w:rPr>
          <w:sz w:val="24"/>
          <w:szCs w:val="24"/>
          <w:lang w:eastAsia="en-GB"/>
        </w:rPr>
        <w:t xml:space="preserve">at a </w:t>
      </w:r>
      <w:r w:rsidR="00B7551A" w:rsidRPr="00FA66C2">
        <w:rPr>
          <w:sz w:val="24"/>
          <w:szCs w:val="24"/>
          <w:lang w:eastAsia="en-GB"/>
        </w:rPr>
        <w:t xml:space="preserve">total capital cost not exceeding £14,800k.  </w:t>
      </w:r>
    </w:p>
    <w:p w:rsidR="00B7551A" w:rsidRPr="00FA66C2" w:rsidRDefault="00B7551A" w:rsidP="00B7551A">
      <w:pPr>
        <w:pStyle w:val="NoSpacing"/>
        <w:rPr>
          <w:sz w:val="24"/>
          <w:szCs w:val="24"/>
          <w:lang w:eastAsia="en-GB"/>
        </w:rPr>
      </w:pPr>
    </w:p>
    <w:p w:rsidR="00B7551A" w:rsidRDefault="00B7551A" w:rsidP="00705EFA">
      <w:pPr>
        <w:pStyle w:val="NoSpacing"/>
        <w:numPr>
          <w:ilvl w:val="0"/>
          <w:numId w:val="160"/>
        </w:numPr>
        <w:rPr>
          <w:sz w:val="24"/>
          <w:szCs w:val="24"/>
          <w:lang w:eastAsia="en-GB"/>
        </w:rPr>
      </w:pPr>
      <w:r w:rsidRPr="00FA66C2">
        <w:rPr>
          <w:sz w:val="24"/>
          <w:szCs w:val="24"/>
          <w:lang w:eastAsia="en-GB"/>
        </w:rPr>
        <w:t>The cost of the Physical Servers Environment project is £300k against the original budget estimate of £500k. The original budget estimate was based on a like for like basis using the existing storage solution as a baseline for the assessment. Advances in virtual server technology have changed the way in which data is stored and as such whilst the base requirement to have storage in our data centre continues,</w:t>
      </w:r>
      <w:r w:rsidR="000E50A5">
        <w:rPr>
          <w:sz w:val="24"/>
          <w:szCs w:val="24"/>
          <w:lang w:eastAsia="en-GB"/>
        </w:rPr>
        <w:t xml:space="preserve"> </w:t>
      </w:r>
      <w:r w:rsidRPr="00FA66C2">
        <w:rPr>
          <w:sz w:val="24"/>
          <w:szCs w:val="24"/>
          <w:lang w:eastAsia="en-GB"/>
        </w:rPr>
        <w:t>changes in technology</w:t>
      </w:r>
      <w:r w:rsidR="000E50A5">
        <w:rPr>
          <w:sz w:val="24"/>
          <w:szCs w:val="24"/>
          <w:lang w:eastAsia="en-GB"/>
        </w:rPr>
        <w:t xml:space="preserve"> as</w:t>
      </w:r>
      <w:r w:rsidRPr="00FA66C2">
        <w:rPr>
          <w:sz w:val="24"/>
          <w:szCs w:val="24"/>
          <w:lang w:eastAsia="en-GB"/>
        </w:rPr>
        <w:t xml:space="preserve"> result</w:t>
      </w:r>
      <w:r w:rsidR="00152640">
        <w:rPr>
          <w:sz w:val="24"/>
          <w:szCs w:val="24"/>
          <w:lang w:eastAsia="en-GB"/>
        </w:rPr>
        <w:t>ed</w:t>
      </w:r>
      <w:r w:rsidRPr="00FA66C2">
        <w:rPr>
          <w:sz w:val="24"/>
          <w:szCs w:val="24"/>
          <w:lang w:eastAsia="en-GB"/>
        </w:rPr>
        <w:t xml:space="preserve"> in the same storage capacity with enhanced capabilities being provided at a lower overall cost. Accordingly, there is a saving of £200k</w:t>
      </w:r>
      <w:r w:rsidR="00152640">
        <w:rPr>
          <w:sz w:val="24"/>
          <w:szCs w:val="24"/>
          <w:lang w:eastAsia="en-GB"/>
        </w:rPr>
        <w:t xml:space="preserve"> </w:t>
      </w:r>
      <w:r w:rsidRPr="00FA66C2">
        <w:rPr>
          <w:sz w:val="24"/>
          <w:szCs w:val="24"/>
          <w:lang w:eastAsia="en-GB"/>
        </w:rPr>
        <w:t xml:space="preserve">to the 2018/19 budget. </w:t>
      </w:r>
    </w:p>
    <w:p w:rsidR="0070121A" w:rsidRDefault="0070121A" w:rsidP="00C55A2E">
      <w:pPr>
        <w:pStyle w:val="ListParagraph"/>
        <w:rPr>
          <w:sz w:val="24"/>
          <w:lang w:eastAsia="en-GB"/>
        </w:rPr>
      </w:pPr>
    </w:p>
    <w:p w:rsidR="00B7551A" w:rsidRPr="004A1EDB" w:rsidRDefault="0070121A" w:rsidP="00705EFA">
      <w:pPr>
        <w:pStyle w:val="ListParagraph"/>
        <w:numPr>
          <w:ilvl w:val="0"/>
          <w:numId w:val="160"/>
        </w:numPr>
        <w:rPr>
          <w:sz w:val="24"/>
        </w:rPr>
      </w:pPr>
      <w:r w:rsidRPr="004A1EDB">
        <w:rPr>
          <w:sz w:val="24"/>
          <w:lang w:eastAsia="en-GB"/>
        </w:rPr>
        <w:t>The table in appendix 2 below shows a summary of the movements since</w:t>
      </w:r>
      <w:r w:rsidR="004A1EDB" w:rsidRPr="004A1EDB">
        <w:rPr>
          <w:sz w:val="24"/>
          <w:lang w:eastAsia="en-GB"/>
        </w:rPr>
        <w:t xml:space="preserve"> last reported in September </w:t>
      </w:r>
      <w:r w:rsidRPr="004A1EDB">
        <w:rPr>
          <w:sz w:val="24"/>
          <w:lang w:eastAsia="en-GB"/>
        </w:rPr>
        <w:t>(FEP2792) and the impact on the capital budget in future years.</w:t>
      </w:r>
    </w:p>
    <w:p w:rsidR="00951B85" w:rsidRPr="00741B44" w:rsidRDefault="00951B85" w:rsidP="004A1EDB">
      <w:pPr>
        <w:pStyle w:val="Heading"/>
        <w:rPr>
          <w:sz w:val="24"/>
          <w:lang w:eastAsia="en-GB"/>
        </w:rPr>
      </w:pPr>
      <w:r w:rsidRPr="00741B44">
        <w:rPr>
          <w:sz w:val="24"/>
          <w:lang w:eastAsia="en-GB"/>
        </w:rPr>
        <w:t>Debtors</w:t>
      </w:r>
    </w:p>
    <w:p w:rsidR="00951B85" w:rsidRPr="006B1F91" w:rsidRDefault="004F6E56" w:rsidP="00705EFA">
      <w:pPr>
        <w:pStyle w:val="NumbList"/>
        <w:numPr>
          <w:ilvl w:val="0"/>
          <w:numId w:val="160"/>
        </w:numPr>
        <w:ind w:left="567" w:hanging="567"/>
        <w:rPr>
          <w:sz w:val="24"/>
        </w:rPr>
      </w:pPr>
      <w:r w:rsidRPr="006B1F91">
        <w:rPr>
          <w:sz w:val="24"/>
        </w:rPr>
        <w:t xml:space="preserve">An </w:t>
      </w:r>
      <w:r w:rsidR="00D476F0" w:rsidRPr="006B1F91">
        <w:rPr>
          <w:sz w:val="24"/>
        </w:rPr>
        <w:t>a</w:t>
      </w:r>
      <w:r w:rsidR="00951B85" w:rsidRPr="006B1F91">
        <w:rPr>
          <w:sz w:val="24"/>
        </w:rPr>
        <w:t>nalysis of debtors relating to Shut in Lift is provided in Appendix 5.</w:t>
      </w:r>
      <w:r w:rsidR="000855F1">
        <w:rPr>
          <w:sz w:val="24"/>
        </w:rPr>
        <w:t xml:space="preserve"> </w:t>
      </w:r>
      <w:r w:rsidR="00951B85" w:rsidRPr="006B1F91">
        <w:rPr>
          <w:sz w:val="24"/>
        </w:rPr>
        <w:t>This includes a chart that shows the</w:t>
      </w:r>
      <w:r w:rsidR="00B23715" w:rsidRPr="006B1F91">
        <w:rPr>
          <w:sz w:val="24"/>
        </w:rPr>
        <w:t xml:space="preserve"> continued</w:t>
      </w:r>
      <w:r w:rsidR="00951B85" w:rsidRPr="006B1F91">
        <w:rPr>
          <w:sz w:val="24"/>
        </w:rPr>
        <w:t xml:space="preserve"> decrease in </w:t>
      </w:r>
      <w:r w:rsidR="00B23715" w:rsidRPr="006B1F91">
        <w:rPr>
          <w:sz w:val="24"/>
        </w:rPr>
        <w:t xml:space="preserve">the amount of </w:t>
      </w:r>
      <w:r w:rsidR="00951B85" w:rsidRPr="006B1F91">
        <w:rPr>
          <w:sz w:val="24"/>
        </w:rPr>
        <w:t xml:space="preserve">Shut in Lift debts </w:t>
      </w:r>
      <w:r w:rsidR="00B23715" w:rsidRPr="006B1F91">
        <w:rPr>
          <w:sz w:val="24"/>
        </w:rPr>
        <w:t xml:space="preserve">outstanding </w:t>
      </w:r>
      <w:r w:rsidR="00951B85" w:rsidRPr="006B1F91">
        <w:rPr>
          <w:sz w:val="24"/>
        </w:rPr>
        <w:t xml:space="preserve">over the past </w:t>
      </w:r>
      <w:r w:rsidR="00ED7FDA" w:rsidRPr="006B1F91">
        <w:rPr>
          <w:sz w:val="24"/>
        </w:rPr>
        <w:t>18 months, with £</w:t>
      </w:r>
      <w:r w:rsidR="00C11CC1" w:rsidRPr="006B1F91">
        <w:rPr>
          <w:sz w:val="24"/>
        </w:rPr>
        <w:t xml:space="preserve">132k </w:t>
      </w:r>
      <w:r w:rsidR="00ED7FDA" w:rsidRPr="006B1F91">
        <w:rPr>
          <w:sz w:val="24"/>
        </w:rPr>
        <w:t xml:space="preserve">outstanding </w:t>
      </w:r>
      <w:r w:rsidR="00951B85" w:rsidRPr="006B1F91">
        <w:rPr>
          <w:sz w:val="24"/>
        </w:rPr>
        <w:t xml:space="preserve">at the end of </w:t>
      </w:r>
      <w:r w:rsidR="00C11CC1" w:rsidRPr="006B1F91">
        <w:rPr>
          <w:sz w:val="24"/>
        </w:rPr>
        <w:t xml:space="preserve">December </w:t>
      </w:r>
      <w:r w:rsidR="00951B85" w:rsidRPr="006B1F91">
        <w:rPr>
          <w:sz w:val="24"/>
        </w:rPr>
        <w:t>2017.</w:t>
      </w:r>
      <w:r w:rsidR="00ED7FDA" w:rsidRPr="006B1F91">
        <w:rPr>
          <w:sz w:val="24"/>
        </w:rPr>
        <w:t xml:space="preserve"> </w:t>
      </w:r>
      <w:r w:rsidR="00951B85" w:rsidRPr="006B1F91">
        <w:rPr>
          <w:sz w:val="24"/>
        </w:rPr>
        <w:t xml:space="preserve">The continued joint effort </w:t>
      </w:r>
      <w:r w:rsidR="002F1FCC" w:rsidRPr="006B1F91">
        <w:rPr>
          <w:sz w:val="24"/>
        </w:rPr>
        <w:t>by Authority staff</w:t>
      </w:r>
      <w:r w:rsidR="00951B85" w:rsidRPr="006B1F91">
        <w:rPr>
          <w:sz w:val="24"/>
        </w:rPr>
        <w:t xml:space="preserve"> has resulted in the </w:t>
      </w:r>
      <w:r w:rsidR="002F1FCC" w:rsidRPr="006B1F91">
        <w:rPr>
          <w:sz w:val="24"/>
        </w:rPr>
        <w:t xml:space="preserve">positive </w:t>
      </w:r>
      <w:r w:rsidR="00951B85" w:rsidRPr="006B1F91">
        <w:rPr>
          <w:sz w:val="24"/>
        </w:rPr>
        <w:t>progress made to date on shut in lift debts recovery.</w:t>
      </w:r>
      <w:r w:rsidR="00AC5981" w:rsidRPr="006B1F91">
        <w:rPr>
          <w:sz w:val="24"/>
        </w:rPr>
        <w:t xml:space="preserve"> </w:t>
      </w:r>
    </w:p>
    <w:p w:rsidR="0057490F" w:rsidRPr="00772439" w:rsidRDefault="00C95D44" w:rsidP="00524CD6">
      <w:pPr>
        <w:pStyle w:val="Heading"/>
        <w:ind w:left="567" w:hanging="567"/>
        <w:rPr>
          <w:sz w:val="24"/>
        </w:rPr>
      </w:pPr>
      <w:r w:rsidRPr="00772439">
        <w:rPr>
          <w:sz w:val="24"/>
        </w:rPr>
        <w:t>Head of Legal and Democratic Services comments</w:t>
      </w:r>
      <w:r w:rsidRPr="00772439" w:rsidDel="00C95D44">
        <w:rPr>
          <w:sz w:val="24"/>
        </w:rPr>
        <w:t xml:space="preserve"> </w:t>
      </w:r>
    </w:p>
    <w:p w:rsidR="00B42A2F" w:rsidRPr="00597E27" w:rsidRDefault="008819B7" w:rsidP="00705EFA">
      <w:pPr>
        <w:pStyle w:val="NumbList"/>
        <w:numPr>
          <w:ilvl w:val="0"/>
          <w:numId w:val="160"/>
        </w:numPr>
        <w:ind w:left="567" w:hanging="567"/>
        <w:rPr>
          <w:sz w:val="24"/>
        </w:rPr>
      </w:pPr>
      <w:r w:rsidRPr="00597E27">
        <w:rPr>
          <w:sz w:val="24"/>
        </w:rPr>
        <w:t>The Head of Legal and Democratic Services has reviewed this report and has no comments.</w:t>
      </w:r>
    </w:p>
    <w:p w:rsidR="0057490F" w:rsidRPr="00912BC3" w:rsidRDefault="002C3FCB" w:rsidP="00524CD6">
      <w:pPr>
        <w:pStyle w:val="Heading"/>
        <w:ind w:left="567" w:hanging="567"/>
        <w:rPr>
          <w:sz w:val="24"/>
        </w:rPr>
      </w:pPr>
      <w:r w:rsidRPr="00BF7A86">
        <w:rPr>
          <w:sz w:val="24"/>
        </w:rPr>
        <w:t>Director of Finance and Contractual Services c</w:t>
      </w:r>
      <w:r w:rsidR="0057490F" w:rsidRPr="00912BC3">
        <w:rPr>
          <w:sz w:val="24"/>
        </w:rPr>
        <w:t>omments</w:t>
      </w:r>
    </w:p>
    <w:p w:rsidR="008819B7" w:rsidRPr="00ED7FDA" w:rsidRDefault="008819B7" w:rsidP="00705EFA">
      <w:pPr>
        <w:pStyle w:val="NumbList"/>
        <w:numPr>
          <w:ilvl w:val="0"/>
          <w:numId w:val="160"/>
        </w:numPr>
        <w:ind w:left="567" w:hanging="567"/>
        <w:rPr>
          <w:sz w:val="24"/>
        </w:rPr>
      </w:pPr>
      <w:r w:rsidRPr="00ED7FDA">
        <w:rPr>
          <w:sz w:val="24"/>
        </w:rPr>
        <w:t xml:space="preserve">This report is presented by the Director of Finance and Contractual Services and there are no further comments. </w:t>
      </w:r>
    </w:p>
    <w:p w:rsidR="0057490F" w:rsidRPr="00385BD3" w:rsidRDefault="00D658C4" w:rsidP="00524CD6">
      <w:pPr>
        <w:pStyle w:val="Heading"/>
        <w:ind w:left="567" w:hanging="567"/>
        <w:rPr>
          <w:sz w:val="24"/>
        </w:rPr>
      </w:pPr>
      <w:r>
        <w:rPr>
          <w:sz w:val="24"/>
        </w:rPr>
        <w:t xml:space="preserve">Sustainable Development </w:t>
      </w:r>
      <w:r w:rsidR="0057490F" w:rsidRPr="00385BD3">
        <w:rPr>
          <w:sz w:val="24"/>
        </w:rPr>
        <w:t>Implications</w:t>
      </w:r>
    </w:p>
    <w:p w:rsidR="000855F1" w:rsidRPr="00597E27" w:rsidRDefault="000855F1" w:rsidP="00705EFA">
      <w:pPr>
        <w:pStyle w:val="NumbList"/>
        <w:numPr>
          <w:ilvl w:val="0"/>
          <w:numId w:val="160"/>
        </w:numPr>
        <w:ind w:left="567" w:hanging="567"/>
        <w:rPr>
          <w:sz w:val="24"/>
        </w:rPr>
      </w:pPr>
      <w:r w:rsidRPr="00597E27">
        <w:rPr>
          <w:sz w:val="24"/>
        </w:rPr>
        <w:t>This report has no sustainability implications.</w:t>
      </w:r>
    </w:p>
    <w:p w:rsidR="007D2EF4" w:rsidRPr="000855F1" w:rsidRDefault="00D51D9F" w:rsidP="00B40D9E">
      <w:pPr>
        <w:pStyle w:val="Heading"/>
        <w:ind w:left="567" w:hanging="567"/>
        <w:rPr>
          <w:sz w:val="24"/>
        </w:rPr>
      </w:pPr>
      <w:r w:rsidRPr="000855F1">
        <w:rPr>
          <w:sz w:val="24"/>
        </w:rPr>
        <w:t xml:space="preserve">Staff Side </w:t>
      </w:r>
      <w:r w:rsidR="007D2EF4" w:rsidRPr="000855F1">
        <w:rPr>
          <w:sz w:val="24"/>
        </w:rPr>
        <w:t>Consultations Undertaken</w:t>
      </w:r>
    </w:p>
    <w:p w:rsidR="008819B7" w:rsidRPr="00597E27" w:rsidRDefault="008819B7" w:rsidP="00705EFA">
      <w:pPr>
        <w:pStyle w:val="NumbList"/>
        <w:numPr>
          <w:ilvl w:val="0"/>
          <w:numId w:val="160"/>
        </w:numPr>
        <w:ind w:left="567" w:hanging="567"/>
        <w:rPr>
          <w:sz w:val="24"/>
        </w:rPr>
      </w:pPr>
      <w:r w:rsidRPr="00597E27">
        <w:rPr>
          <w:sz w:val="24"/>
        </w:rPr>
        <w:t>No staff-side consultations have been undertaken on this report.</w:t>
      </w:r>
    </w:p>
    <w:p w:rsidR="0057490F" w:rsidRPr="00385BD3" w:rsidRDefault="0057490F" w:rsidP="00524CD6">
      <w:pPr>
        <w:pStyle w:val="Heading"/>
        <w:ind w:left="567" w:hanging="567"/>
        <w:rPr>
          <w:sz w:val="24"/>
        </w:rPr>
      </w:pPr>
      <w:r w:rsidRPr="00385BD3">
        <w:rPr>
          <w:sz w:val="24"/>
        </w:rPr>
        <w:t>Equalities Implications</w:t>
      </w:r>
    </w:p>
    <w:p w:rsidR="008819B7" w:rsidRPr="00597E27" w:rsidRDefault="008819B7" w:rsidP="00705EFA">
      <w:pPr>
        <w:pStyle w:val="NumbList"/>
        <w:numPr>
          <w:ilvl w:val="0"/>
          <w:numId w:val="160"/>
        </w:numPr>
        <w:ind w:left="567" w:hanging="567"/>
        <w:rPr>
          <w:sz w:val="24"/>
        </w:rPr>
      </w:pPr>
      <w:r w:rsidRPr="00597E27">
        <w:rPr>
          <w:sz w:val="24"/>
        </w:rPr>
        <w:t xml:space="preserve">This report has no equality implications. </w:t>
      </w:r>
    </w:p>
    <w:tbl>
      <w:tblPr>
        <w:tblW w:w="0" w:type="auto"/>
        <w:tblCellMar>
          <w:left w:w="0" w:type="dxa"/>
          <w:right w:w="0" w:type="dxa"/>
        </w:tblCellMar>
        <w:tblLook w:val="01E0" w:firstRow="1" w:lastRow="1" w:firstColumn="1" w:lastColumn="1" w:noHBand="0" w:noVBand="0"/>
      </w:tblPr>
      <w:tblGrid>
        <w:gridCol w:w="1701"/>
        <w:gridCol w:w="7938"/>
      </w:tblGrid>
      <w:tr w:rsidR="0057490F" w:rsidRPr="00AB7829" w:rsidTr="00B41A1B">
        <w:trPr>
          <w:trHeight w:val="425"/>
        </w:trPr>
        <w:tc>
          <w:tcPr>
            <w:tcW w:w="9639" w:type="dxa"/>
            <w:gridSpan w:val="2"/>
            <w:tcBorders>
              <w:top w:val="nil"/>
              <w:left w:val="nil"/>
              <w:bottom w:val="single" w:sz="8" w:space="0" w:color="auto"/>
              <w:right w:val="nil"/>
            </w:tcBorders>
          </w:tcPr>
          <w:p w:rsidR="0057490F" w:rsidRPr="00AB7829" w:rsidRDefault="0057490F" w:rsidP="003A58BF">
            <w:pPr>
              <w:pStyle w:val="NormalNoSpace"/>
              <w:keepNext/>
            </w:pPr>
          </w:p>
        </w:tc>
      </w:tr>
      <w:tr w:rsidR="0057490F" w:rsidRPr="00AB7829" w:rsidTr="00113F87">
        <w:tc>
          <w:tcPr>
            <w:tcW w:w="9639" w:type="dxa"/>
            <w:gridSpan w:val="2"/>
            <w:tcBorders>
              <w:top w:val="single" w:sz="8" w:space="0" w:color="auto"/>
              <w:left w:val="nil"/>
              <w:bottom w:val="nil"/>
              <w:right w:val="nil"/>
            </w:tcBorders>
          </w:tcPr>
          <w:p w:rsidR="0057490F" w:rsidRPr="00FD6D0A" w:rsidRDefault="0057490F" w:rsidP="00113F87">
            <w:pPr>
              <w:pStyle w:val="Heading"/>
            </w:pPr>
            <w:r w:rsidRPr="002A68DA">
              <w:t>List of Appendices to this report</w:t>
            </w:r>
            <w:r w:rsidR="00D93DC8" w:rsidRPr="00FD6D0A">
              <w:t>:</w:t>
            </w:r>
          </w:p>
          <w:p w:rsidR="008F4224" w:rsidRPr="003434D1" w:rsidRDefault="008F4224" w:rsidP="008F4224">
            <w:pPr>
              <w:pStyle w:val="NumbList"/>
              <w:numPr>
                <w:ilvl w:val="0"/>
                <w:numId w:val="3"/>
              </w:numPr>
              <w:tabs>
                <w:tab w:val="clear" w:pos="624"/>
                <w:tab w:val="num" w:pos="340"/>
              </w:tabs>
              <w:spacing w:after="0"/>
              <w:ind w:left="284" w:hanging="284"/>
              <w:rPr>
                <w:sz w:val="24"/>
              </w:rPr>
            </w:pPr>
            <w:r w:rsidRPr="003434D1">
              <w:rPr>
                <w:sz w:val="24"/>
              </w:rPr>
              <w:t>Financial Position, 201</w:t>
            </w:r>
            <w:r w:rsidR="00BA4A6B">
              <w:rPr>
                <w:sz w:val="24"/>
              </w:rPr>
              <w:t>7</w:t>
            </w:r>
            <w:r w:rsidRPr="003434D1">
              <w:rPr>
                <w:sz w:val="24"/>
              </w:rPr>
              <w:t>/1</w:t>
            </w:r>
            <w:r w:rsidR="00BA4A6B">
              <w:rPr>
                <w:sz w:val="24"/>
              </w:rPr>
              <w:t>8</w:t>
            </w:r>
            <w:r w:rsidRPr="003434D1">
              <w:rPr>
                <w:sz w:val="24"/>
              </w:rPr>
              <w:t xml:space="preserve"> </w:t>
            </w:r>
            <w:r w:rsidR="00BA4A6B">
              <w:rPr>
                <w:sz w:val="24"/>
              </w:rPr>
              <w:t xml:space="preserve">Forecast </w:t>
            </w:r>
            <w:r w:rsidRPr="003434D1">
              <w:rPr>
                <w:sz w:val="24"/>
              </w:rPr>
              <w:t>Outturn</w:t>
            </w:r>
          </w:p>
          <w:p w:rsidR="008F4224" w:rsidRDefault="00BA4A6B" w:rsidP="00B85BD6">
            <w:pPr>
              <w:pStyle w:val="NumbList"/>
              <w:numPr>
                <w:ilvl w:val="0"/>
                <w:numId w:val="3"/>
              </w:numPr>
              <w:tabs>
                <w:tab w:val="clear" w:pos="624"/>
                <w:tab w:val="num" w:pos="340"/>
              </w:tabs>
              <w:spacing w:after="0"/>
              <w:ind w:left="284" w:hanging="284"/>
              <w:rPr>
                <w:sz w:val="24"/>
              </w:rPr>
            </w:pPr>
            <w:r>
              <w:rPr>
                <w:sz w:val="24"/>
              </w:rPr>
              <w:t>Capital Programme 2017</w:t>
            </w:r>
            <w:r w:rsidR="008F4224" w:rsidRPr="003434D1">
              <w:rPr>
                <w:sz w:val="24"/>
              </w:rPr>
              <w:t>/1</w:t>
            </w:r>
            <w:r>
              <w:rPr>
                <w:sz w:val="24"/>
              </w:rPr>
              <w:t>8</w:t>
            </w:r>
          </w:p>
          <w:p w:rsidR="00F13BA1" w:rsidRPr="003434D1" w:rsidRDefault="00062534" w:rsidP="00B85BD6">
            <w:pPr>
              <w:pStyle w:val="NumbList"/>
              <w:numPr>
                <w:ilvl w:val="0"/>
                <w:numId w:val="3"/>
              </w:numPr>
              <w:tabs>
                <w:tab w:val="clear" w:pos="624"/>
                <w:tab w:val="num" w:pos="340"/>
              </w:tabs>
              <w:spacing w:after="0"/>
              <w:ind w:left="284" w:hanging="284"/>
              <w:rPr>
                <w:sz w:val="24"/>
              </w:rPr>
            </w:pPr>
            <w:r>
              <w:rPr>
                <w:sz w:val="24"/>
              </w:rPr>
              <w:t xml:space="preserve">Risks to the </w:t>
            </w:r>
            <w:r w:rsidR="00067389">
              <w:rPr>
                <w:sz w:val="24"/>
              </w:rPr>
              <w:t xml:space="preserve">Revenue and </w:t>
            </w:r>
            <w:r w:rsidR="00A647B3">
              <w:rPr>
                <w:sz w:val="24"/>
              </w:rPr>
              <w:t>Capital</w:t>
            </w:r>
            <w:r>
              <w:rPr>
                <w:sz w:val="24"/>
              </w:rPr>
              <w:t xml:space="preserve"> Position</w:t>
            </w:r>
          </w:p>
          <w:p w:rsidR="0057490F" w:rsidRDefault="008F4224" w:rsidP="00B85BD6">
            <w:pPr>
              <w:pStyle w:val="NumbList"/>
              <w:numPr>
                <w:ilvl w:val="0"/>
                <w:numId w:val="3"/>
              </w:numPr>
              <w:tabs>
                <w:tab w:val="clear" w:pos="624"/>
                <w:tab w:val="num" w:pos="340"/>
              </w:tabs>
              <w:spacing w:after="0"/>
              <w:ind w:left="284" w:hanging="284"/>
              <w:rPr>
                <w:sz w:val="24"/>
              </w:rPr>
            </w:pPr>
            <w:r w:rsidRPr="003434D1">
              <w:rPr>
                <w:sz w:val="24"/>
              </w:rPr>
              <w:t>Financial Regulation 9: Budget Virements</w:t>
            </w:r>
          </w:p>
          <w:p w:rsidR="00880EEA" w:rsidRPr="004F7D9D" w:rsidRDefault="00880EEA" w:rsidP="00B85BD6">
            <w:pPr>
              <w:pStyle w:val="NumbList"/>
              <w:numPr>
                <w:ilvl w:val="0"/>
                <w:numId w:val="3"/>
              </w:numPr>
              <w:tabs>
                <w:tab w:val="clear" w:pos="624"/>
                <w:tab w:val="num" w:pos="340"/>
              </w:tabs>
              <w:spacing w:after="0"/>
              <w:ind w:left="284" w:hanging="284"/>
              <w:rPr>
                <w:sz w:val="24"/>
              </w:rPr>
            </w:pPr>
            <w:r w:rsidRPr="00ED7FDA">
              <w:rPr>
                <w:sz w:val="24"/>
              </w:rPr>
              <w:t>Outstanding LIFT debtors</w:t>
            </w:r>
          </w:p>
        </w:tc>
      </w:tr>
      <w:tr w:rsidR="00113F87" w:rsidRPr="00AB7829" w:rsidTr="00AF799D">
        <w:tc>
          <w:tcPr>
            <w:tcW w:w="9639" w:type="dxa"/>
            <w:gridSpan w:val="2"/>
            <w:tcBorders>
              <w:top w:val="nil"/>
              <w:left w:val="nil"/>
              <w:bottom w:val="single" w:sz="4" w:space="0" w:color="auto"/>
              <w:right w:val="nil"/>
            </w:tcBorders>
          </w:tcPr>
          <w:p w:rsidR="00113F87" w:rsidRPr="00AB7829" w:rsidRDefault="00113F87" w:rsidP="00113F87">
            <w:pPr>
              <w:pStyle w:val="NormalNoSpace"/>
            </w:pPr>
          </w:p>
        </w:tc>
      </w:tr>
      <w:tr w:rsidR="0057490F" w:rsidRPr="00AB7829" w:rsidTr="00113F87">
        <w:tc>
          <w:tcPr>
            <w:tcW w:w="9639"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57490F" w:rsidRPr="00AB7829" w:rsidRDefault="00424847" w:rsidP="00113F87">
            <w:pPr>
              <w:pStyle w:val="Heading"/>
            </w:pPr>
            <w:r w:rsidRPr="00AB7829">
              <w:t>LOCAL GOVERNMENT (ACCESS TO INFORMATION) ACT 1985</w:t>
            </w:r>
          </w:p>
        </w:tc>
      </w:tr>
      <w:tr w:rsidR="00113F87" w:rsidRPr="00AB7829" w:rsidTr="00113F87">
        <w:tc>
          <w:tcPr>
            <w:tcW w:w="9639"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113F87" w:rsidRPr="002A68DA" w:rsidRDefault="00113F87" w:rsidP="00246BD1">
            <w:pPr>
              <w:pStyle w:val="HeadingSm"/>
            </w:pPr>
            <w:r w:rsidRPr="002A68DA">
              <w:t>List of background documents</w:t>
            </w:r>
          </w:p>
          <w:p w:rsidR="008F4224" w:rsidRPr="008F4224" w:rsidRDefault="00BA4A6B" w:rsidP="008F4224">
            <w:pPr>
              <w:pStyle w:val="NumbList"/>
              <w:numPr>
                <w:ilvl w:val="0"/>
                <w:numId w:val="4"/>
              </w:numPr>
              <w:tabs>
                <w:tab w:val="clear" w:pos="624"/>
                <w:tab w:val="num" w:pos="340"/>
              </w:tabs>
              <w:spacing w:after="0"/>
              <w:rPr>
                <w:sz w:val="24"/>
              </w:rPr>
            </w:pPr>
            <w:r>
              <w:rPr>
                <w:sz w:val="24"/>
              </w:rPr>
              <w:t>FEP27</w:t>
            </w:r>
            <w:r w:rsidR="007C5076">
              <w:rPr>
                <w:sz w:val="24"/>
              </w:rPr>
              <w:t>08</w:t>
            </w:r>
            <w:r>
              <w:rPr>
                <w:sz w:val="24"/>
              </w:rPr>
              <w:t xml:space="preserve"> 2017</w:t>
            </w:r>
            <w:r w:rsidR="008F4224" w:rsidRPr="008F4224">
              <w:rPr>
                <w:sz w:val="24"/>
              </w:rPr>
              <w:t>/1</w:t>
            </w:r>
            <w:r>
              <w:rPr>
                <w:sz w:val="24"/>
              </w:rPr>
              <w:t>8</w:t>
            </w:r>
            <w:r w:rsidR="008F4224" w:rsidRPr="008F4224">
              <w:rPr>
                <w:sz w:val="24"/>
              </w:rPr>
              <w:t xml:space="preserve"> Budget</w:t>
            </w:r>
          </w:p>
          <w:p w:rsidR="008F4224" w:rsidRDefault="008F4224" w:rsidP="008F4224">
            <w:pPr>
              <w:pStyle w:val="NumbList"/>
              <w:numPr>
                <w:ilvl w:val="0"/>
                <w:numId w:val="4"/>
              </w:numPr>
              <w:tabs>
                <w:tab w:val="clear" w:pos="624"/>
                <w:tab w:val="num" w:pos="340"/>
              </w:tabs>
              <w:spacing w:after="0"/>
              <w:rPr>
                <w:sz w:val="24"/>
              </w:rPr>
            </w:pPr>
            <w:r w:rsidRPr="003D14BE">
              <w:rPr>
                <w:sz w:val="24"/>
              </w:rPr>
              <w:t>FEP</w:t>
            </w:r>
            <w:r w:rsidR="006367B2">
              <w:rPr>
                <w:sz w:val="24"/>
              </w:rPr>
              <w:t>2750</w:t>
            </w:r>
            <w:r w:rsidR="00796428">
              <w:rPr>
                <w:sz w:val="24"/>
              </w:rPr>
              <w:t xml:space="preserve"> </w:t>
            </w:r>
            <w:r w:rsidRPr="008F4224">
              <w:rPr>
                <w:sz w:val="24"/>
              </w:rPr>
              <w:t>Review of Financial Outturn for 201</w:t>
            </w:r>
            <w:r w:rsidR="00BA4A6B">
              <w:rPr>
                <w:sz w:val="24"/>
              </w:rPr>
              <w:t>6</w:t>
            </w:r>
            <w:r w:rsidRPr="008F4224">
              <w:rPr>
                <w:sz w:val="24"/>
              </w:rPr>
              <w:t>/1</w:t>
            </w:r>
            <w:r w:rsidR="00BA4A6B">
              <w:rPr>
                <w:sz w:val="24"/>
              </w:rPr>
              <w:t>7</w:t>
            </w:r>
            <w:r w:rsidR="00B256A4">
              <w:rPr>
                <w:sz w:val="24"/>
              </w:rPr>
              <w:t xml:space="preserve"> </w:t>
            </w:r>
          </w:p>
          <w:p w:rsidR="00DB0F58" w:rsidRDefault="00ED7FDA" w:rsidP="00DB0F58">
            <w:pPr>
              <w:pStyle w:val="NumbList"/>
              <w:numPr>
                <w:ilvl w:val="0"/>
                <w:numId w:val="4"/>
              </w:numPr>
              <w:tabs>
                <w:tab w:val="clear" w:pos="624"/>
                <w:tab w:val="num" w:pos="340"/>
              </w:tabs>
              <w:spacing w:after="0"/>
              <w:rPr>
                <w:sz w:val="24"/>
              </w:rPr>
            </w:pPr>
            <w:r w:rsidRPr="00ED7FDA">
              <w:rPr>
                <w:sz w:val="24"/>
              </w:rPr>
              <w:t>FEP</w:t>
            </w:r>
            <w:r>
              <w:rPr>
                <w:sz w:val="24"/>
              </w:rPr>
              <w:t>2772</w:t>
            </w:r>
            <w:r w:rsidR="00424592">
              <w:rPr>
                <w:sz w:val="24"/>
              </w:rPr>
              <w:t xml:space="preserve"> </w:t>
            </w:r>
            <w:r w:rsidR="00DB0F58" w:rsidRPr="00DB0F58">
              <w:rPr>
                <w:sz w:val="24"/>
              </w:rPr>
              <w:t xml:space="preserve">Financial Position as at the end of </w:t>
            </w:r>
            <w:r w:rsidR="00DB0F58">
              <w:rPr>
                <w:sz w:val="24"/>
              </w:rPr>
              <w:t>June</w:t>
            </w:r>
            <w:r w:rsidR="00DB0F58" w:rsidRPr="00DB0F58">
              <w:rPr>
                <w:sz w:val="24"/>
              </w:rPr>
              <w:t xml:space="preserve"> 2017</w:t>
            </w:r>
          </w:p>
          <w:p w:rsidR="004B0C29" w:rsidRPr="00DB0F58" w:rsidRDefault="004B0C29" w:rsidP="00DB0F58">
            <w:pPr>
              <w:pStyle w:val="NumbList"/>
              <w:numPr>
                <w:ilvl w:val="0"/>
                <w:numId w:val="4"/>
              </w:numPr>
              <w:tabs>
                <w:tab w:val="clear" w:pos="624"/>
                <w:tab w:val="num" w:pos="340"/>
              </w:tabs>
              <w:spacing w:after="0"/>
              <w:rPr>
                <w:sz w:val="24"/>
              </w:rPr>
            </w:pPr>
            <w:r>
              <w:rPr>
                <w:sz w:val="24"/>
              </w:rPr>
              <w:t>FEP2792 Financial Position as at the end of September 2017</w:t>
            </w:r>
          </w:p>
          <w:p w:rsidR="00113F87" w:rsidRPr="002A68DA" w:rsidRDefault="00113F87" w:rsidP="0068015C">
            <w:pPr>
              <w:pStyle w:val="NumbList"/>
              <w:numPr>
                <w:ilvl w:val="0"/>
                <w:numId w:val="0"/>
              </w:numPr>
              <w:spacing w:after="0"/>
              <w:ind w:left="284"/>
            </w:pPr>
          </w:p>
        </w:tc>
      </w:tr>
      <w:tr w:rsidR="00113F87" w:rsidRPr="00AB7829" w:rsidTr="00113F87">
        <w:tc>
          <w:tcPr>
            <w:tcW w:w="1701" w:type="dxa"/>
            <w:tcBorders>
              <w:top w:val="single" w:sz="4" w:space="0" w:color="auto"/>
              <w:left w:val="single" w:sz="4" w:space="0" w:color="auto"/>
              <w:bottom w:val="single" w:sz="4" w:space="0" w:color="auto"/>
              <w:right w:val="nil"/>
            </w:tcBorders>
            <w:tcMar>
              <w:top w:w="85" w:type="dxa"/>
              <w:left w:w="85" w:type="dxa"/>
              <w:bottom w:w="85" w:type="dxa"/>
              <w:right w:w="85" w:type="dxa"/>
            </w:tcMar>
          </w:tcPr>
          <w:p w:rsidR="00113F87" w:rsidRPr="00AB7829" w:rsidRDefault="00113F87" w:rsidP="006F0DAF">
            <w:pPr>
              <w:pStyle w:val="NormalNoSpace"/>
            </w:pPr>
            <w:r w:rsidRPr="00AB7829">
              <w:t>Proper officer</w:t>
            </w:r>
          </w:p>
        </w:tc>
        <w:tc>
          <w:tcPr>
            <w:tcW w:w="7938" w:type="dxa"/>
            <w:tcBorders>
              <w:top w:val="single" w:sz="4" w:space="0" w:color="auto"/>
              <w:left w:val="nil"/>
              <w:bottom w:val="single" w:sz="4" w:space="0" w:color="auto"/>
              <w:right w:val="single" w:sz="4" w:space="0" w:color="auto"/>
            </w:tcBorders>
            <w:tcMar>
              <w:top w:w="85" w:type="dxa"/>
              <w:left w:w="85" w:type="dxa"/>
              <w:bottom w:w="85" w:type="dxa"/>
              <w:right w:w="85" w:type="dxa"/>
            </w:tcMar>
          </w:tcPr>
          <w:p w:rsidR="00113F87" w:rsidRPr="00AB7829" w:rsidRDefault="00FA334A" w:rsidP="006F0DAF">
            <w:pPr>
              <w:pStyle w:val="NormalNoSpace"/>
              <w:rPr>
                <w:b/>
              </w:rPr>
            </w:pPr>
            <w:bookmarkStart w:id="4" w:name="Proper_Officer"/>
            <w:r>
              <w:rPr>
                <w:b/>
              </w:rPr>
              <w:t>Director</w:t>
            </w:r>
            <w:r w:rsidR="008F40A7">
              <w:rPr>
                <w:b/>
              </w:rPr>
              <w:t xml:space="preserve"> of</w:t>
            </w:r>
            <w:r>
              <w:rPr>
                <w:b/>
              </w:rPr>
              <w:t xml:space="preserve"> Finance and Contractual Services</w:t>
            </w:r>
            <w:bookmarkEnd w:id="4"/>
          </w:p>
        </w:tc>
      </w:tr>
      <w:tr w:rsidR="00113F87" w:rsidRPr="00AB7829" w:rsidTr="00AF799D">
        <w:tc>
          <w:tcPr>
            <w:tcW w:w="1701" w:type="dxa"/>
            <w:tcBorders>
              <w:top w:val="single" w:sz="4" w:space="0" w:color="auto"/>
              <w:left w:val="single" w:sz="4" w:space="0" w:color="auto"/>
              <w:bottom w:val="single" w:sz="4" w:space="0" w:color="auto"/>
              <w:right w:val="nil"/>
            </w:tcBorders>
            <w:tcMar>
              <w:top w:w="85" w:type="dxa"/>
              <w:left w:w="85" w:type="dxa"/>
              <w:bottom w:w="85" w:type="dxa"/>
              <w:right w:w="85" w:type="dxa"/>
            </w:tcMar>
          </w:tcPr>
          <w:p w:rsidR="00113F87" w:rsidRPr="00AB7829" w:rsidRDefault="00113F87" w:rsidP="006F0DAF">
            <w:pPr>
              <w:pStyle w:val="NormalNoSpace"/>
            </w:pPr>
            <w:r w:rsidRPr="00AB7829">
              <w:t>Contact officer</w:t>
            </w:r>
          </w:p>
          <w:p w:rsidR="00113F87" w:rsidRPr="00AB7829" w:rsidRDefault="00113F87" w:rsidP="006F0DAF">
            <w:pPr>
              <w:pStyle w:val="NormalNoSpace"/>
            </w:pPr>
            <w:r w:rsidRPr="00AB7829">
              <w:t>Telephone</w:t>
            </w:r>
          </w:p>
          <w:p w:rsidR="00113F87" w:rsidRPr="00AB7829" w:rsidRDefault="00113F87" w:rsidP="006F0DAF">
            <w:pPr>
              <w:pStyle w:val="NormalNoSpace"/>
            </w:pPr>
            <w:r w:rsidRPr="00AB7829">
              <w:t>Email</w:t>
            </w:r>
          </w:p>
        </w:tc>
        <w:tc>
          <w:tcPr>
            <w:tcW w:w="7938" w:type="dxa"/>
            <w:tcBorders>
              <w:top w:val="single" w:sz="4" w:space="0" w:color="auto"/>
              <w:left w:val="nil"/>
              <w:bottom w:val="single" w:sz="4" w:space="0" w:color="auto"/>
              <w:right w:val="single" w:sz="4" w:space="0" w:color="auto"/>
            </w:tcBorders>
            <w:tcMar>
              <w:top w:w="85" w:type="dxa"/>
              <w:left w:w="85" w:type="dxa"/>
              <w:bottom w:w="85" w:type="dxa"/>
              <w:right w:w="85" w:type="dxa"/>
            </w:tcMar>
          </w:tcPr>
          <w:p w:rsidR="00113F87" w:rsidRPr="00AB7829" w:rsidRDefault="003B7A4F" w:rsidP="006F0DAF">
            <w:pPr>
              <w:pStyle w:val="NormalNoSpace"/>
              <w:rPr>
                <w:b/>
              </w:rPr>
            </w:pPr>
            <w:r>
              <w:rPr>
                <w:b/>
              </w:rPr>
              <w:t>Adrian Bloomfield</w:t>
            </w:r>
          </w:p>
          <w:p w:rsidR="00113F87" w:rsidRPr="00AB7829" w:rsidRDefault="00FA334A" w:rsidP="006F0DAF">
            <w:pPr>
              <w:pStyle w:val="NormalNoSpace"/>
              <w:rPr>
                <w:b/>
              </w:rPr>
            </w:pPr>
            <w:bookmarkStart w:id="5" w:name="Tel"/>
            <w:r>
              <w:rPr>
                <w:b/>
              </w:rPr>
              <w:t>020 8555 1200 x</w:t>
            </w:r>
            <w:bookmarkEnd w:id="5"/>
            <w:r w:rsidR="003B7A4F">
              <w:rPr>
                <w:b/>
              </w:rPr>
              <w:t>31351</w:t>
            </w:r>
          </w:p>
          <w:bookmarkStart w:id="6" w:name="Email"/>
          <w:p w:rsidR="00113F87" w:rsidRPr="00AB7829" w:rsidRDefault="003B7A4F" w:rsidP="003B7A4F">
            <w:pPr>
              <w:pStyle w:val="NormalNoSpace"/>
              <w:rPr>
                <w:b/>
              </w:rPr>
            </w:pPr>
            <w:r>
              <w:rPr>
                <w:b/>
              </w:rPr>
              <w:fldChar w:fldCharType="begin"/>
            </w:r>
            <w:r>
              <w:rPr>
                <w:b/>
              </w:rPr>
              <w:instrText xml:space="preserve"> HYPERLINK "mailto:</w:instrText>
            </w:r>
            <w:r w:rsidRPr="003B7A4F">
              <w:rPr>
                <w:b/>
              </w:rPr>
              <w:instrText>Adrian.Bloomfield@london-fire.gov.uk</w:instrText>
            </w:r>
            <w:r>
              <w:rPr>
                <w:b/>
              </w:rPr>
              <w:instrText xml:space="preserve">" </w:instrText>
            </w:r>
            <w:r>
              <w:rPr>
                <w:b/>
              </w:rPr>
              <w:fldChar w:fldCharType="separate"/>
            </w:r>
            <w:r w:rsidRPr="009E03C2">
              <w:rPr>
                <w:rStyle w:val="Hyperlink"/>
                <w:b/>
              </w:rPr>
              <w:t>Adrian.Bloomfield@london-fire.gov.uk</w:t>
            </w:r>
            <w:bookmarkEnd w:id="6"/>
            <w:r>
              <w:rPr>
                <w:b/>
              </w:rPr>
              <w:fldChar w:fldCharType="end"/>
            </w:r>
          </w:p>
        </w:tc>
      </w:tr>
    </w:tbl>
    <w:p w:rsidR="005D69C1" w:rsidRDefault="005D69C1" w:rsidP="00B37CEE">
      <w:pPr>
        <w:framePr w:w="10799" w:wrap="auto" w:hAnchor="text"/>
        <w:spacing w:after="0" w:line="240" w:lineRule="auto"/>
        <w:sectPr w:rsidR="005D69C1" w:rsidSect="00E00B94">
          <w:headerReference w:type="default" r:id="rId16"/>
          <w:headerReference w:type="first" r:id="rId17"/>
          <w:pgSz w:w="11907" w:h="16840" w:code="9"/>
          <w:pgMar w:top="13" w:right="850" w:bottom="1361" w:left="830" w:header="567" w:footer="454" w:gutter="0"/>
          <w:cols w:space="708"/>
          <w:titlePg/>
          <w:docGrid w:linePitch="360"/>
        </w:sectPr>
      </w:pPr>
    </w:p>
    <w:tbl>
      <w:tblPr>
        <w:tblW w:w="5820" w:type="pct"/>
        <w:jc w:val="center"/>
        <w:tblLayout w:type="fixed"/>
        <w:tblLook w:val="04A0" w:firstRow="1" w:lastRow="0" w:firstColumn="1" w:lastColumn="0" w:noHBand="0" w:noVBand="1"/>
      </w:tblPr>
      <w:tblGrid>
        <w:gridCol w:w="2509"/>
        <w:gridCol w:w="1518"/>
        <w:gridCol w:w="1372"/>
        <w:gridCol w:w="1128"/>
        <w:gridCol w:w="1125"/>
        <w:gridCol w:w="1588"/>
        <w:gridCol w:w="1582"/>
        <w:gridCol w:w="1378"/>
        <w:gridCol w:w="1355"/>
        <w:gridCol w:w="818"/>
        <w:gridCol w:w="1278"/>
        <w:gridCol w:w="1034"/>
      </w:tblGrid>
      <w:tr w:rsidR="00B62C97" w:rsidRPr="00C25D35" w:rsidTr="00B62C97">
        <w:trPr>
          <w:trHeight w:val="826"/>
          <w:tblHeader/>
          <w:jc w:val="center"/>
        </w:trPr>
        <w:tc>
          <w:tcPr>
            <w:tcW w:w="7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25D35" w:rsidRPr="00C25D35" w:rsidRDefault="00C25D35" w:rsidP="00C25D35">
            <w:pPr>
              <w:spacing w:after="0" w:line="240" w:lineRule="auto"/>
              <w:rPr>
                <w:b/>
                <w:bCs/>
                <w:sz w:val="20"/>
                <w:szCs w:val="20"/>
                <w:lang w:eastAsia="en-GB"/>
              </w:rPr>
            </w:pPr>
            <w:r w:rsidRPr="00C25D35">
              <w:rPr>
                <w:b/>
                <w:bCs/>
                <w:sz w:val="20"/>
                <w:szCs w:val="20"/>
                <w:lang w:eastAsia="en-GB"/>
              </w:rPr>
              <w:t> </w:t>
            </w:r>
          </w:p>
        </w:tc>
        <w:tc>
          <w:tcPr>
            <w:tcW w:w="455" w:type="pct"/>
            <w:tcBorders>
              <w:top w:val="single" w:sz="4" w:space="0" w:color="auto"/>
              <w:left w:val="nil"/>
              <w:bottom w:val="single" w:sz="4" w:space="0" w:color="auto"/>
              <w:right w:val="single" w:sz="4" w:space="0" w:color="auto"/>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 xml:space="preserve">Current Budget </w:t>
            </w:r>
          </w:p>
        </w:tc>
        <w:tc>
          <w:tcPr>
            <w:tcW w:w="411" w:type="pct"/>
            <w:tcBorders>
              <w:top w:val="single" w:sz="4" w:space="0" w:color="auto"/>
              <w:left w:val="nil"/>
              <w:bottom w:val="single" w:sz="4" w:space="0" w:color="auto"/>
              <w:right w:val="single" w:sz="4" w:space="0" w:color="auto"/>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Current Spend</w:t>
            </w:r>
          </w:p>
        </w:tc>
        <w:tc>
          <w:tcPr>
            <w:tcW w:w="675" w:type="pct"/>
            <w:gridSpan w:val="2"/>
            <w:tcBorders>
              <w:top w:val="single" w:sz="4" w:space="0" w:color="auto"/>
              <w:left w:val="nil"/>
              <w:bottom w:val="single" w:sz="4" w:space="0" w:color="auto"/>
              <w:right w:val="single" w:sz="4" w:space="0" w:color="000000"/>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Current Variance</w:t>
            </w:r>
          </w:p>
        </w:tc>
        <w:tc>
          <w:tcPr>
            <w:tcW w:w="476" w:type="pct"/>
            <w:tcBorders>
              <w:top w:val="single" w:sz="4" w:space="0" w:color="auto"/>
              <w:left w:val="nil"/>
              <w:bottom w:val="single" w:sz="4" w:space="0" w:color="auto"/>
              <w:right w:val="single" w:sz="4" w:space="0" w:color="auto"/>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Original Budget</w:t>
            </w:r>
          </w:p>
        </w:tc>
        <w:tc>
          <w:tcPr>
            <w:tcW w:w="474" w:type="pct"/>
            <w:tcBorders>
              <w:top w:val="single" w:sz="4" w:space="0" w:color="auto"/>
              <w:left w:val="nil"/>
              <w:bottom w:val="single" w:sz="4" w:space="0" w:color="auto"/>
              <w:right w:val="single" w:sz="4" w:space="0" w:color="auto"/>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Revised Budget</w:t>
            </w:r>
          </w:p>
        </w:tc>
        <w:tc>
          <w:tcPr>
            <w:tcW w:w="413" w:type="pct"/>
            <w:tcBorders>
              <w:top w:val="single" w:sz="4" w:space="0" w:color="auto"/>
              <w:left w:val="nil"/>
              <w:bottom w:val="single" w:sz="4" w:space="0" w:color="auto"/>
              <w:right w:val="single" w:sz="4" w:space="0" w:color="auto"/>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Forecast Outturn</w:t>
            </w:r>
          </w:p>
        </w:tc>
        <w:tc>
          <w:tcPr>
            <w:tcW w:w="651" w:type="pct"/>
            <w:gridSpan w:val="2"/>
            <w:tcBorders>
              <w:top w:val="single" w:sz="4" w:space="0" w:color="auto"/>
              <w:left w:val="nil"/>
              <w:bottom w:val="single" w:sz="4" w:space="0" w:color="auto"/>
              <w:right w:val="single" w:sz="4" w:space="0" w:color="000000"/>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Forecast Outturn Variance</w:t>
            </w:r>
          </w:p>
        </w:tc>
        <w:tc>
          <w:tcPr>
            <w:tcW w:w="383" w:type="pct"/>
            <w:tcBorders>
              <w:top w:val="single" w:sz="4" w:space="0" w:color="auto"/>
              <w:left w:val="nil"/>
              <w:bottom w:val="single" w:sz="4" w:space="0" w:color="auto"/>
              <w:right w:val="single" w:sz="4" w:space="0" w:color="auto"/>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Previous Forecast Outturn Variance (Q2)</w:t>
            </w:r>
          </w:p>
        </w:tc>
        <w:tc>
          <w:tcPr>
            <w:tcW w:w="310" w:type="pct"/>
            <w:tcBorders>
              <w:top w:val="single" w:sz="4" w:space="0" w:color="auto"/>
              <w:left w:val="nil"/>
              <w:bottom w:val="single" w:sz="4" w:space="0" w:color="auto"/>
              <w:right w:val="single" w:sz="4" w:space="0" w:color="auto"/>
            </w:tcBorders>
            <w:shd w:val="clear" w:color="auto" w:fill="auto"/>
            <w:hideMark/>
          </w:tcPr>
          <w:p w:rsidR="00C25D35" w:rsidRPr="00C25D35" w:rsidRDefault="00C25D35" w:rsidP="00C25D35">
            <w:pPr>
              <w:spacing w:after="0" w:line="240" w:lineRule="auto"/>
              <w:jc w:val="center"/>
              <w:rPr>
                <w:b/>
                <w:bCs/>
                <w:sz w:val="20"/>
                <w:szCs w:val="20"/>
                <w:lang w:eastAsia="en-GB"/>
              </w:rPr>
            </w:pPr>
            <w:r w:rsidRPr="00C25D35">
              <w:rPr>
                <w:b/>
                <w:bCs/>
                <w:sz w:val="20"/>
                <w:szCs w:val="20"/>
                <w:lang w:eastAsia="en-GB"/>
              </w:rPr>
              <w:t>Movement between variance figures</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rPr>
                <w:b/>
                <w:bCs/>
                <w:sz w:val="20"/>
                <w:szCs w:val="20"/>
                <w:lang w:eastAsia="en-GB"/>
              </w:rPr>
            </w:pPr>
            <w:r w:rsidRPr="00C25D35">
              <w:rPr>
                <w:b/>
                <w:bCs/>
                <w:sz w:val="20"/>
                <w:szCs w:val="20"/>
                <w:lang w:eastAsia="en-GB"/>
              </w:rPr>
              <w:t> </w:t>
            </w:r>
          </w:p>
        </w:tc>
        <w:tc>
          <w:tcPr>
            <w:tcW w:w="455"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411"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338"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337" w:type="pct"/>
            <w:tcBorders>
              <w:top w:val="nil"/>
              <w:left w:val="nil"/>
              <w:bottom w:val="single" w:sz="4" w:space="0" w:color="auto"/>
              <w:right w:val="single" w:sz="4" w:space="0" w:color="auto"/>
            </w:tcBorders>
            <w:shd w:val="clear" w:color="auto" w:fill="auto"/>
            <w:noWrap/>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476"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474"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413"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406"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245" w:type="pct"/>
            <w:tcBorders>
              <w:top w:val="nil"/>
              <w:left w:val="nil"/>
              <w:bottom w:val="single" w:sz="4" w:space="0" w:color="auto"/>
              <w:right w:val="single" w:sz="4" w:space="0" w:color="auto"/>
            </w:tcBorders>
            <w:shd w:val="clear" w:color="auto" w:fill="auto"/>
            <w:noWrap/>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383"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c>
          <w:tcPr>
            <w:tcW w:w="310" w:type="pct"/>
            <w:tcBorders>
              <w:top w:val="nil"/>
              <w:left w:val="nil"/>
              <w:bottom w:val="single" w:sz="4" w:space="0" w:color="auto"/>
              <w:right w:val="single" w:sz="4" w:space="0" w:color="auto"/>
            </w:tcBorders>
            <w:shd w:val="clear" w:color="auto" w:fill="auto"/>
            <w:vAlign w:val="bottom"/>
            <w:hideMark/>
          </w:tcPr>
          <w:p w:rsidR="00C27DFE" w:rsidRPr="00C25D35" w:rsidRDefault="00C27DFE" w:rsidP="00C25D35">
            <w:pPr>
              <w:spacing w:after="0" w:line="240" w:lineRule="auto"/>
              <w:jc w:val="center"/>
              <w:rPr>
                <w:b/>
                <w:bCs/>
                <w:sz w:val="20"/>
                <w:szCs w:val="20"/>
                <w:lang w:eastAsia="en-GB"/>
              </w:rPr>
            </w:pPr>
            <w:r>
              <w:rPr>
                <w:b/>
                <w:bCs/>
                <w:sz w:val="20"/>
                <w:szCs w:val="20"/>
              </w:rPr>
              <w:t>£</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sidRPr="00C25D35">
              <w:rPr>
                <w:sz w:val="20"/>
                <w:szCs w:val="20"/>
                <w:lang w:eastAsia="en-GB"/>
              </w:rPr>
              <w:t>Operational Staff</w:t>
            </w:r>
          </w:p>
        </w:tc>
        <w:tc>
          <w:tcPr>
            <w:tcW w:w="455"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174,292,842</w:t>
            </w:r>
          </w:p>
        </w:tc>
        <w:tc>
          <w:tcPr>
            <w:tcW w:w="411"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169,881,432</w:t>
            </w:r>
          </w:p>
        </w:tc>
        <w:tc>
          <w:tcPr>
            <w:tcW w:w="338"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(4,411,410)</w:t>
            </w:r>
          </w:p>
        </w:tc>
        <w:tc>
          <w:tcPr>
            <w:tcW w:w="337"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(2.5%)</w:t>
            </w:r>
          </w:p>
        </w:tc>
        <w:tc>
          <w:tcPr>
            <w:tcW w:w="476"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233,410,405</w:t>
            </w:r>
          </w:p>
        </w:tc>
        <w:tc>
          <w:tcPr>
            <w:tcW w:w="474"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234,796,970</w:t>
            </w:r>
          </w:p>
        </w:tc>
        <w:tc>
          <w:tcPr>
            <w:tcW w:w="413"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230,636,432</w:t>
            </w:r>
          </w:p>
        </w:tc>
        <w:tc>
          <w:tcPr>
            <w:tcW w:w="406"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(4,160,538)</w:t>
            </w:r>
          </w:p>
        </w:tc>
        <w:tc>
          <w:tcPr>
            <w:tcW w:w="245"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(1.8%)</w:t>
            </w:r>
          </w:p>
        </w:tc>
        <w:tc>
          <w:tcPr>
            <w:tcW w:w="383"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(4,702,969)</w:t>
            </w:r>
          </w:p>
        </w:tc>
        <w:tc>
          <w:tcPr>
            <w:tcW w:w="310"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542,431</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sidRPr="00C25D35">
              <w:rPr>
                <w:sz w:val="20"/>
                <w:szCs w:val="20"/>
                <w:lang w:eastAsia="en-GB"/>
              </w:rPr>
              <w:t>Trainee Firefighters</w:t>
            </w:r>
          </w:p>
        </w:tc>
        <w:tc>
          <w:tcPr>
            <w:tcW w:w="455"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661,290</w:t>
            </w:r>
          </w:p>
        </w:tc>
        <w:tc>
          <w:tcPr>
            <w:tcW w:w="411"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796,601</w:t>
            </w:r>
          </w:p>
        </w:tc>
        <w:tc>
          <w:tcPr>
            <w:tcW w:w="338"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135,311</w:t>
            </w:r>
          </w:p>
        </w:tc>
        <w:tc>
          <w:tcPr>
            <w:tcW w:w="337"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20.5%</w:t>
            </w:r>
          </w:p>
        </w:tc>
        <w:tc>
          <w:tcPr>
            <w:tcW w:w="476"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1,235,886</w:t>
            </w:r>
          </w:p>
        </w:tc>
        <w:tc>
          <w:tcPr>
            <w:tcW w:w="474"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1,235,884</w:t>
            </w:r>
          </w:p>
        </w:tc>
        <w:tc>
          <w:tcPr>
            <w:tcW w:w="413"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1,235,884</w:t>
            </w:r>
          </w:p>
        </w:tc>
        <w:tc>
          <w:tcPr>
            <w:tcW w:w="406"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rPr>
                <w:sz w:val="20"/>
                <w:szCs w:val="20"/>
                <w:lang w:eastAsia="en-GB"/>
              </w:rPr>
            </w:pPr>
            <w:r w:rsidRPr="00C25D35">
              <w:rPr>
                <w:sz w:val="20"/>
                <w:szCs w:val="20"/>
                <w:lang w:eastAsia="en-GB"/>
              </w:rPr>
              <w:t>Total Operational Staff</w:t>
            </w:r>
          </w:p>
        </w:tc>
        <w:tc>
          <w:tcPr>
            <w:tcW w:w="455"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174,954,132</w:t>
            </w:r>
          </w:p>
        </w:tc>
        <w:tc>
          <w:tcPr>
            <w:tcW w:w="411"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170,678,033</w:t>
            </w:r>
          </w:p>
        </w:tc>
        <w:tc>
          <w:tcPr>
            <w:tcW w:w="338"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(4,276,099)</w:t>
            </w:r>
          </w:p>
        </w:tc>
        <w:tc>
          <w:tcPr>
            <w:tcW w:w="337"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(2.4%)</w:t>
            </w:r>
          </w:p>
        </w:tc>
        <w:tc>
          <w:tcPr>
            <w:tcW w:w="476"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234,646,291</w:t>
            </w:r>
          </w:p>
        </w:tc>
        <w:tc>
          <w:tcPr>
            <w:tcW w:w="474"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236,032,854</w:t>
            </w:r>
          </w:p>
        </w:tc>
        <w:tc>
          <w:tcPr>
            <w:tcW w:w="413"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231,872,316</w:t>
            </w:r>
          </w:p>
        </w:tc>
        <w:tc>
          <w:tcPr>
            <w:tcW w:w="406"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(4,160,538)</w:t>
            </w:r>
          </w:p>
        </w:tc>
        <w:tc>
          <w:tcPr>
            <w:tcW w:w="245"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(1.8%)</w:t>
            </w:r>
          </w:p>
        </w:tc>
        <w:tc>
          <w:tcPr>
            <w:tcW w:w="383"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(4,702,969)</w:t>
            </w:r>
          </w:p>
        </w:tc>
        <w:tc>
          <w:tcPr>
            <w:tcW w:w="310" w:type="pct"/>
            <w:tcBorders>
              <w:top w:val="nil"/>
              <w:left w:val="nil"/>
              <w:bottom w:val="single" w:sz="4" w:space="0" w:color="auto"/>
              <w:right w:val="single" w:sz="4" w:space="0" w:color="auto"/>
            </w:tcBorders>
            <w:shd w:val="clear" w:color="000000" w:fill="C0C0C0"/>
            <w:noWrap/>
            <w:vAlign w:val="center"/>
            <w:hideMark/>
          </w:tcPr>
          <w:p w:rsidR="00C27DFE" w:rsidRPr="00C25D35" w:rsidRDefault="00C27DFE" w:rsidP="00C25D35">
            <w:pPr>
              <w:spacing w:after="0" w:line="240" w:lineRule="auto"/>
              <w:jc w:val="right"/>
              <w:rPr>
                <w:sz w:val="20"/>
                <w:szCs w:val="20"/>
                <w:lang w:eastAsia="en-GB"/>
              </w:rPr>
            </w:pPr>
            <w:r>
              <w:rPr>
                <w:sz w:val="20"/>
                <w:szCs w:val="20"/>
              </w:rPr>
              <w:t>542,431</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C27DFE" w:rsidRPr="00C25D35" w:rsidRDefault="00C27DFE"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FRS Staff</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34,316,580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34,496,265</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179,686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0.5%</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45,520,950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47,318,737</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9665AE">
            <w:pPr>
              <w:spacing w:after="0" w:line="240" w:lineRule="auto"/>
              <w:jc w:val="right"/>
              <w:rPr>
                <w:sz w:val="20"/>
                <w:szCs w:val="20"/>
                <w:lang w:eastAsia="en-GB"/>
              </w:rPr>
            </w:pPr>
            <w:r>
              <w:rPr>
                <w:sz w:val="20"/>
                <w:szCs w:val="20"/>
              </w:rPr>
              <w:t>46,</w:t>
            </w:r>
            <w:r w:rsidR="004B0C29">
              <w:rPr>
                <w:sz w:val="20"/>
                <w:szCs w:val="20"/>
              </w:rPr>
              <w:t>808</w:t>
            </w:r>
            <w:r>
              <w:rPr>
                <w:sz w:val="20"/>
                <w:szCs w:val="20"/>
              </w:rPr>
              <w:t>,843</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w:t>
            </w:r>
            <w:r w:rsidR="004B0C29">
              <w:rPr>
                <w:sz w:val="20"/>
                <w:szCs w:val="20"/>
              </w:rPr>
              <w:t>50</w:t>
            </w:r>
            <w:r>
              <w:rPr>
                <w:sz w:val="20"/>
                <w:szCs w:val="20"/>
              </w:rPr>
              <w:t>9,894)</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w:t>
            </w:r>
            <w:r w:rsidR="004B0C29">
              <w:rPr>
                <w:sz w:val="20"/>
                <w:szCs w:val="20"/>
              </w:rPr>
              <w:t>1</w:t>
            </w:r>
            <w:r>
              <w:rPr>
                <w:sz w:val="20"/>
                <w:szCs w:val="20"/>
              </w:rPr>
              <w:t>%)</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w:t>
            </w:r>
            <w:r w:rsidR="004B0C29">
              <w:rPr>
                <w:sz w:val="20"/>
                <w:szCs w:val="20"/>
              </w:rPr>
              <w:t>50</w:t>
            </w:r>
            <w:r>
              <w:rPr>
                <w:sz w:val="20"/>
                <w:szCs w:val="20"/>
              </w:rPr>
              <w:t>9,894)</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Control Staff</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3,945,892</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4,051,684</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105,793</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5,442,449</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5,309,096</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5,459,193</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150,097</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2.8%</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150,097</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Other Staff</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38,262,471</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38,547,950</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285,478</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0.7%</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50,963,400</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52,627,833</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52,</w:t>
            </w:r>
            <w:r w:rsidR="004B0C29">
              <w:rPr>
                <w:sz w:val="20"/>
                <w:szCs w:val="20"/>
              </w:rPr>
              <w:t>26</w:t>
            </w:r>
            <w:r>
              <w:rPr>
                <w:sz w:val="20"/>
                <w:szCs w:val="20"/>
              </w:rPr>
              <w:t>8,036</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w:t>
            </w:r>
            <w:r w:rsidR="004B0C29">
              <w:rPr>
                <w:sz w:val="20"/>
                <w:szCs w:val="20"/>
              </w:rPr>
              <w:t>35</w:t>
            </w:r>
            <w:r>
              <w:rPr>
                <w:sz w:val="20"/>
                <w:szCs w:val="20"/>
              </w:rPr>
              <w:t>9,797)</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w:t>
            </w:r>
            <w:r w:rsidR="004B0C29">
              <w:rPr>
                <w:sz w:val="20"/>
                <w:szCs w:val="20"/>
              </w:rPr>
              <w:t>0.7</w:t>
            </w:r>
            <w:r>
              <w:rPr>
                <w:sz w:val="20"/>
                <w:szCs w:val="20"/>
              </w:rPr>
              <w:t>%)</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150,097</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w:t>
            </w:r>
            <w:r w:rsidR="004B0C29">
              <w:rPr>
                <w:sz w:val="20"/>
                <w:szCs w:val="20"/>
              </w:rPr>
              <w:t>509</w:t>
            </w:r>
            <w:r>
              <w:rPr>
                <w:sz w:val="20"/>
                <w:szCs w:val="20"/>
              </w:rPr>
              <w:t>,894)</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Other Pension Payments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660,000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656,359</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(3,641)</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(0.6%)</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990,000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990,000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990,000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Severance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47,246</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47,246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33,681</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47,246</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13,566</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13,565</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Professional Development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21,368,764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19,082,067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(2,286,698)</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20,911,224</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21,988,267</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22,096,667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108,400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0.5%</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98,361</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10,039</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Recruitment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214,981</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223,570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8,589</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162,100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267,100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253,503</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(13,597)</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(5.1%)</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(33,478)</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19,881</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Employee Related Insurance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190,000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205,165</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15,165</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190,000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190,000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205,165</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15,165</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15,165</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Compensation</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416,860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200,925</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(215,935)</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(51.8%)</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555,813</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555,813</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786,349</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230,535</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41.5%</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230,535</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Medical and Welfare Expenses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1,439,289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1,326,423</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(112,866)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(7.8%)</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2,782,076</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2,713,071</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1,852,600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(860,471)</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(31.7%)</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(898,501)</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38,030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Employee Capitalised Costs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(161,274)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(144,782)</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16,491</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(10.2%)</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(245,400)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(372,500)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(372,500)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(7,712)</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7,711</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Employee Related</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24,128,620</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21,596,973</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(2,531,647)</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(10.5%)</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25,345,813</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26,365,432</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25,859,030</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(506,402)</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(1.9%)</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(827,764)</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321,362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Firefighter Pension Scheme</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15,459,250</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13,828,155</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(1,631,095)</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(10.6%)</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20,489,000</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20,489,000</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20,573,009</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84,009</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0.4%</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(210,000)</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294,009</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Building Maintenance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6,363,530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7,436,201</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1,072,671</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16.9%</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7,241,163</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6,813,688</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8,538,928</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1,725,240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650,000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1,075,240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Grounds Maintenance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88,948</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57,157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(31,792)</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(35.7%)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118,382</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146,396</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146,396</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Premises Security</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425,752</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596,328</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170,576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40.1%</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397,752</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425,752</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635,752</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210,000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49.3%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113,000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97,000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Energy Costs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1,307,722</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1,295,971</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(11,751)</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(0.9%)</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2,031,205</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2,031,205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2,091,205</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60,000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Rents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7,684,599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5,943,352</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(1,741,246)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7,801,412</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7,903,952</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8,085,278</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181,326</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51,684</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129,642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Property PFI Contract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5,545,202</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5,541,577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(3,625)</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(0.1%)</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5,545,202</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5,545,202</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5,485,202</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(60,000)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Property Rates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7,177,817</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6,690,660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(487,157)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(6.8%)</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9,291,368</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9,291,368</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7,274,368</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(2,017,000)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(21.7%)</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(2,017,000)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Water &amp; Sewerage Rates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175,579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200,268</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24,689</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14.1%</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255,515</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255,515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295,515</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15.7%</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40,000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Fixtures &amp; Fittings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65,648</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178,282</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112,634</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171.6%</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332,861</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97,969</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198,537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100,568</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102.7%</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100,568</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Cleaning and Domestic Supplies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1,354,299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1,079,940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(274,359)</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(20.3%)</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2,032,753</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2,020,097</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2,020,347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Premises Insurance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290,000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304,281</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14,281</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4.9%</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372,000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372,000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340,000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(32,000)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(8.6%)</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(32,000)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Other Property Services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1,999,596</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2,041,550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41,954</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1,526,726</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1,994,524</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2,111,524</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117,000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94,000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23,000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Premises</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32,478,693</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31,365,567</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(1,113,126)</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(3.4%)</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36,946,338</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36,897,667</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37,223,051</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325,384</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0.9%</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848,684</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(523,300)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Running Costs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1,679,519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1,790,657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111,138</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6.6%</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2,092,597</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1,717,474</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1,946,717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229,243</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229,839</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(596)</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Vehicle and Equipment Contract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10,783,624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10,716,116</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(67,509)</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(0.6%)</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10,783,624</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10,783,624</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10,692,744</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(90,880)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(0.8%)</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(90,880)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Vehicle Passthroughs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395,835</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311,867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(83,968)</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(21.2%)</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645,172</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605,465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453,804</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(151,661)</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(151,661)</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Maintenance and Repairs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905,000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Contract Hire &amp; Operating Leases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1,140,509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1,065,403</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(75,106)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(6.6%)</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1,189,900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1,228,300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1,139,602</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(88,698)</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(7.2%)</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(29,358)</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(59,340)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Travel</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696,144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710,504</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14,360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1,122,627</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941,046</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899,622</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(41,424)</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(4.4%)</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(48,746)</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7,322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Transport</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14,695,632</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14,594,546</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(101,086)</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(0.7%)</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16,738,920</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15,275,909</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15,132,489</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(143,420)</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(0.9%)</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(90,806)</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(52,614)</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Hydrants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570,824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581,534</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10,710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600,900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581,492</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400,037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(181,455)</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(31.2%)</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(187,444)</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5,989</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Operational Equipment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1,879,831</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1,346,157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(533,674)</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(28.4%)</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2,123,414</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1,747,382</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2,124,716</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377,334</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21.6%</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(15,753)</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393,087</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Smoke Alarms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595,000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673,267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78,267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13.2%</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700,000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700,000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711,418</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11,418</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11,418</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Equipment Furniture and Materials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192,319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287,044</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94,726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49.3%</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534,188</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273,658</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290,852</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17,194</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(2,120)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19,314</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Lost &amp; NFWT Operational Equipment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100,082</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85,679</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(14,403)</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(14.4%)</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107,387</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107,387</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107,390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Catering</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245,537</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243,555</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(1,982)</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(0.8%)</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120,104</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312,259</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282,417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(29,842)</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(9.6%)</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(10,853)</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(18,989)</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Clothing &amp; Laundry</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2,591,951</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2,963,649</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371,699</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14.3%</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2,790,337</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2,795,935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2,775,465</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(20,470)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(0.7%)</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(112,913)</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92,443</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General Office Expenses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548,919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576,066</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27,147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4.9%</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378,869</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720,790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795,424</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74,634</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10.4%</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54,338</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20,296</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Professional Services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8,400,998</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8,566,731</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165,733</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8,550,475</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9,160,786</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9,187,711</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26,925</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(95,538)</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122,463</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Postal Services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55,487</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58,805</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3,317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61,255</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61,255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61,215</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(0.1%)</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Communications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3,603,585</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2,848,302</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(755,283)</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3,567,294</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3,800,345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3,814,387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14,042</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0.4%</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16,115</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(2,073)</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Hardware and Software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5,051,576</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7,787,102</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2,735,526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54.2%</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6,121,843</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7,188,305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7,169,054</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(19,251)</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(183,583)</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164,332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Staff Reimbursements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239,504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257,511</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18,007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7.5%</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450,565</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316,205</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345,620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29,415</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33,261</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(3,846)</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Grants and Subscriptions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222,490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137,474</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(85,017)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(38.2%)</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225,724</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235,313</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237,133</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1,820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0.8%</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(1,978)</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3,798</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Other Insurance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225,000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186,614</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(38,386)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(17.1%)</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225,000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225,000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185,667</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(39,333)</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(17.5%)</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(39,333)</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Advertising</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73,693</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160,312</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86,619</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117.5%</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112,450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161,282</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170,629</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9,347</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5.8%</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4,205</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5,142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Other Supplies and Services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52,482</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51,045</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(1,437)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212,476</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69,737</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73,154</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3,417</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4.9%</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1,834</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1,583</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Supplies and Services</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24,649,278</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26,810,847</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2,161,569</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8.8%</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26,882,280</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28,457,130</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28,732,289</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275,160</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1.0%</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(500,429)</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775,588</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Other Agencies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688,047</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551,717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(136,330)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(19.8%)</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315,700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917,396</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886,696</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(30,700)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(3.3%)</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(30,700)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Other Local Authorities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1,195,800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1,276,117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80,317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1,325,102</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1,644,838</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1,954,395</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309,557</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18.8%</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186,000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123,557</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Audit &amp; Bank Charges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85,750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78,330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(7,420)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88,600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88,600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88,600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Third Party Payments</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1,969,597</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1,906,165</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(63,432)</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(3.2%)</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1,729,402</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2,650,834</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2,929,691</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278,857</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10.5%</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186,000</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92,857</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Debt Repayment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5,882,000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5,882,000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5,882,000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External Interest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1,824,164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1,473,539</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(350,625)</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(19.2%)</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3,626,000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3,626,000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3,626,000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Capital Financing Costs</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1,824,164</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1,473,539</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(350,625)</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(19.2%)</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9,508,000</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9,508,000</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9,508,000</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Central Contingency</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2,198,900</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270,910</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270,911</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b/>
                <w:bCs/>
                <w:sz w:val="20"/>
                <w:szCs w:val="20"/>
                <w:lang w:eastAsia="en-GB"/>
              </w:rPr>
            </w:pPr>
            <w:r w:rsidRPr="00C25D35">
              <w:rPr>
                <w:b/>
                <w:bCs/>
                <w:sz w:val="20"/>
                <w:szCs w:val="20"/>
                <w:lang w:eastAsia="en-GB"/>
              </w:rPr>
              <w:t>Total revenue expenditure</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328,421,838</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320,801,775</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color w:val="000000"/>
                <w:sz w:val="20"/>
                <w:szCs w:val="20"/>
              </w:rPr>
              <w:t>(7,620,063)</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(2.3%)</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425,448,344</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428,575,569</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424,</w:t>
            </w:r>
            <w:r w:rsidR="009665AE">
              <w:rPr>
                <w:b/>
                <w:bCs/>
                <w:sz w:val="20"/>
                <w:szCs w:val="20"/>
              </w:rPr>
              <w:t>368</w:t>
            </w:r>
            <w:r>
              <w:rPr>
                <w:b/>
                <w:bCs/>
                <w:sz w:val="20"/>
                <w:szCs w:val="20"/>
              </w:rPr>
              <w:t>,823</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color w:val="000000"/>
                <w:sz w:val="20"/>
                <w:szCs w:val="20"/>
              </w:rPr>
              <w:t>(4</w:t>
            </w:r>
            <w:r w:rsidR="009665AE">
              <w:rPr>
                <w:b/>
                <w:bCs/>
                <w:color w:val="000000"/>
                <w:sz w:val="20"/>
                <w:szCs w:val="20"/>
              </w:rPr>
              <w:t>,206</w:t>
            </w:r>
            <w:r>
              <w:rPr>
                <w:b/>
                <w:bCs/>
                <w:color w:val="000000"/>
                <w:sz w:val="20"/>
                <w:szCs w:val="20"/>
              </w:rPr>
              <w:t>,746)</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(1.0%)</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color w:val="000000"/>
                <w:sz w:val="20"/>
                <w:szCs w:val="20"/>
              </w:rPr>
              <w:t>(5,147,187)</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9665AE" w:rsidP="00C25D35">
            <w:pPr>
              <w:spacing w:after="0" w:line="240" w:lineRule="auto"/>
              <w:jc w:val="right"/>
              <w:rPr>
                <w:b/>
                <w:bCs/>
                <w:sz w:val="20"/>
                <w:szCs w:val="20"/>
                <w:lang w:eastAsia="en-GB"/>
              </w:rPr>
            </w:pPr>
            <w:r>
              <w:rPr>
                <w:b/>
                <w:bCs/>
                <w:sz w:val="20"/>
                <w:szCs w:val="20"/>
              </w:rPr>
              <w:t>94</w:t>
            </w:r>
            <w:r w:rsidR="006B2699">
              <w:rPr>
                <w:b/>
                <w:bCs/>
                <w:sz w:val="20"/>
                <w:szCs w:val="20"/>
              </w:rPr>
              <w:t>0,442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MFB Act Income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(25,595,000)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(26,355,822)</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(760,822)</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(25,595,000)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(25,595,000)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(26,384,899)</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(789,899)</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3.1%</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(605,000)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(184,899)</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Customer and Client Receipts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(7,025,194)</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(6,493,547)</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531,647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(7.6%)</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(8,381,538)</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(9,354,774)</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(9,172,303)</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182,471</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285,802</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(103,331)</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Interest Receivable</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(280,000)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(230,574)</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49,426</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(17.7%)</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(595,000)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(595,000)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(400,000)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195,000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(32.8%)</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195,000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Bad Debts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(2,441)</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(2,441)</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Total Other Income</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(32,900,194)</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(33,082,383)</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(182,189)</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0.6%</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(34,571,538)</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(35,544,774)</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(35,957,202)</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(412,428)</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1.2%</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(124,198)</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sz w:val="20"/>
                <w:szCs w:val="20"/>
                <w:lang w:eastAsia="en-GB"/>
              </w:rPr>
            </w:pPr>
            <w:r>
              <w:rPr>
                <w:sz w:val="20"/>
                <w:szCs w:val="20"/>
              </w:rPr>
              <w:t>(288,230)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b/>
                <w:bCs/>
                <w:sz w:val="20"/>
                <w:szCs w:val="20"/>
                <w:lang w:eastAsia="en-GB"/>
              </w:rPr>
            </w:pPr>
            <w:r w:rsidRPr="00C25D35">
              <w:rPr>
                <w:b/>
                <w:bCs/>
                <w:sz w:val="20"/>
                <w:szCs w:val="20"/>
                <w:lang w:eastAsia="en-GB"/>
              </w:rPr>
              <w:t>Net revenue expenditure</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295,521,644</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287,719,392</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color w:val="000000"/>
                <w:sz w:val="20"/>
                <w:szCs w:val="20"/>
              </w:rPr>
              <w:t>(7,802,252)</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(2.6%)</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390,876,806</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393,030,794</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388,</w:t>
            </w:r>
            <w:r w:rsidR="00B62C97">
              <w:rPr>
                <w:b/>
                <w:bCs/>
                <w:sz w:val="20"/>
                <w:szCs w:val="20"/>
              </w:rPr>
              <w:t>41</w:t>
            </w:r>
            <w:r>
              <w:rPr>
                <w:b/>
                <w:bCs/>
                <w:sz w:val="20"/>
                <w:szCs w:val="20"/>
              </w:rPr>
              <w:t>1,621</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color w:val="000000"/>
                <w:sz w:val="20"/>
                <w:szCs w:val="20"/>
              </w:rPr>
              <w:t>(4,</w:t>
            </w:r>
            <w:r w:rsidR="00B62C97">
              <w:rPr>
                <w:b/>
                <w:bCs/>
                <w:color w:val="000000"/>
                <w:sz w:val="20"/>
                <w:szCs w:val="20"/>
              </w:rPr>
              <w:t>619</w:t>
            </w:r>
            <w:r>
              <w:rPr>
                <w:b/>
                <w:bCs/>
                <w:color w:val="000000"/>
                <w:sz w:val="20"/>
                <w:szCs w:val="20"/>
              </w:rPr>
              <w:t>,174)</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(1.2%)</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color w:val="000000"/>
                <w:sz w:val="20"/>
                <w:szCs w:val="20"/>
              </w:rPr>
              <w:t>(5,271,385)</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B62C97" w:rsidP="00C25D35">
            <w:pPr>
              <w:spacing w:after="0" w:line="240" w:lineRule="auto"/>
              <w:jc w:val="right"/>
              <w:rPr>
                <w:b/>
                <w:bCs/>
                <w:sz w:val="20"/>
                <w:szCs w:val="20"/>
                <w:lang w:eastAsia="en-GB"/>
              </w:rPr>
            </w:pPr>
            <w:r>
              <w:rPr>
                <w:b/>
                <w:bCs/>
                <w:sz w:val="20"/>
                <w:szCs w:val="20"/>
              </w:rPr>
              <w:t>65</w:t>
            </w:r>
            <w:r w:rsidR="006B2699">
              <w:rPr>
                <w:b/>
                <w:bCs/>
                <w:sz w:val="20"/>
                <w:szCs w:val="20"/>
              </w:rPr>
              <w:t>2,212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Use of Earmarked Reserves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3,748,957</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3,526,028</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3,526,028</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b/>
                <w:bCs/>
                <w:sz w:val="20"/>
                <w:szCs w:val="20"/>
                <w:lang w:eastAsia="en-GB"/>
              </w:rPr>
            </w:pPr>
            <w:r w:rsidRPr="00C25D35">
              <w:rPr>
                <w:b/>
                <w:bCs/>
                <w:sz w:val="20"/>
                <w:szCs w:val="20"/>
                <w:lang w:eastAsia="en-GB"/>
              </w:rPr>
              <w:t>Financing Requirement</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295,521,644</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287,719,392</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(7,802,252)</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(2.6%)</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394,625,763</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396,556,823</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391</w:t>
            </w:r>
            <w:r w:rsidR="00B62C97">
              <w:rPr>
                <w:b/>
                <w:bCs/>
                <w:sz w:val="20"/>
                <w:szCs w:val="20"/>
              </w:rPr>
              <w:t>,937</w:t>
            </w:r>
            <w:r>
              <w:rPr>
                <w:b/>
                <w:bCs/>
                <w:sz w:val="20"/>
                <w:szCs w:val="20"/>
              </w:rPr>
              <w:t>,649</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(4,</w:t>
            </w:r>
            <w:r w:rsidR="00B62C97">
              <w:rPr>
                <w:b/>
                <w:bCs/>
                <w:sz w:val="20"/>
                <w:szCs w:val="20"/>
              </w:rPr>
              <w:t>619</w:t>
            </w:r>
            <w:r>
              <w:rPr>
                <w:b/>
                <w:bCs/>
                <w:sz w:val="20"/>
                <w:szCs w:val="20"/>
              </w:rPr>
              <w:t>,174)</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(1.2%)</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(5,271,385)</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B62C97" w:rsidP="00C25D35">
            <w:pPr>
              <w:spacing w:after="0" w:line="240" w:lineRule="auto"/>
              <w:jc w:val="right"/>
              <w:rPr>
                <w:b/>
                <w:bCs/>
                <w:sz w:val="20"/>
                <w:szCs w:val="20"/>
                <w:lang w:eastAsia="en-GB"/>
              </w:rPr>
            </w:pPr>
            <w:r>
              <w:rPr>
                <w:b/>
                <w:bCs/>
                <w:sz w:val="20"/>
                <w:szCs w:val="20"/>
              </w:rPr>
              <w:t>652</w:t>
            </w:r>
            <w:r w:rsidR="006B2699">
              <w:rPr>
                <w:b/>
                <w:bCs/>
                <w:sz w:val="20"/>
                <w:szCs w:val="20"/>
              </w:rPr>
              <w:t>,212</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Financed by:</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Specific grants</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(11,527,849)</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(12,831,926)</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(1,304,077)</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11.3%</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(12,225,763)</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(14,128,887)</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(14,239,604)</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(110,717)</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0.8%</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(13,575)</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(97,143)</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GLA Grant</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(382,400,000)</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(382,427,936)</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(382,427,936)</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0.0%</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jc w:val="right"/>
              <w:rPr>
                <w:sz w:val="20"/>
                <w:szCs w:val="20"/>
                <w:lang w:eastAsia="en-GB"/>
              </w:rPr>
            </w:pPr>
            <w:r>
              <w:rPr>
                <w:sz w:val="20"/>
                <w:szCs w:val="20"/>
              </w:rPr>
              <w:t>0</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sidRPr="00C25D35">
              <w:rPr>
                <w:sz w:val="20"/>
                <w:szCs w:val="20"/>
                <w:lang w:eastAsia="en-GB"/>
              </w:rPr>
              <w:t> </w:t>
            </w:r>
          </w:p>
        </w:tc>
        <w:tc>
          <w:tcPr>
            <w:tcW w:w="45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8"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37"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245"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c>
          <w:tcPr>
            <w:tcW w:w="310" w:type="pct"/>
            <w:tcBorders>
              <w:top w:val="nil"/>
              <w:left w:val="nil"/>
              <w:bottom w:val="single" w:sz="4" w:space="0" w:color="auto"/>
              <w:right w:val="single" w:sz="4" w:space="0" w:color="auto"/>
            </w:tcBorders>
            <w:shd w:val="clear" w:color="auto" w:fill="auto"/>
            <w:noWrap/>
            <w:vAlign w:val="center"/>
            <w:hideMark/>
          </w:tcPr>
          <w:p w:rsidR="006B2699" w:rsidRPr="00C25D35" w:rsidRDefault="006B2699" w:rsidP="00C25D35">
            <w:pPr>
              <w:spacing w:after="0" w:line="240" w:lineRule="auto"/>
              <w:rPr>
                <w:sz w:val="20"/>
                <w:szCs w:val="20"/>
                <w:lang w:eastAsia="en-GB"/>
              </w:rPr>
            </w:pPr>
            <w:r>
              <w:rPr>
                <w:sz w:val="20"/>
                <w:szCs w:val="20"/>
              </w:rPr>
              <w:t> </w:t>
            </w:r>
          </w:p>
        </w:tc>
      </w:tr>
      <w:tr w:rsidR="00B62C97" w:rsidRPr="00C25D35" w:rsidTr="003A68F2">
        <w:trPr>
          <w:trHeight w:val="255"/>
          <w:jc w:val="center"/>
        </w:trPr>
        <w:tc>
          <w:tcPr>
            <w:tcW w:w="752" w:type="pct"/>
            <w:tcBorders>
              <w:top w:val="nil"/>
              <w:left w:val="single" w:sz="4" w:space="0" w:color="auto"/>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rPr>
                <w:b/>
                <w:bCs/>
                <w:sz w:val="20"/>
                <w:szCs w:val="20"/>
                <w:lang w:eastAsia="en-GB"/>
              </w:rPr>
            </w:pPr>
            <w:r w:rsidRPr="00C25D35">
              <w:rPr>
                <w:b/>
                <w:bCs/>
                <w:sz w:val="20"/>
                <w:szCs w:val="20"/>
                <w:lang w:eastAsia="en-GB"/>
              </w:rPr>
              <w:t>Net Financial Position</w:t>
            </w:r>
          </w:p>
        </w:tc>
        <w:tc>
          <w:tcPr>
            <w:tcW w:w="45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283,993,794</w:t>
            </w:r>
          </w:p>
        </w:tc>
        <w:tc>
          <w:tcPr>
            <w:tcW w:w="411"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274,887,465</w:t>
            </w:r>
          </w:p>
        </w:tc>
        <w:tc>
          <w:tcPr>
            <w:tcW w:w="338"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(9,106,329)</w:t>
            </w:r>
          </w:p>
        </w:tc>
        <w:tc>
          <w:tcPr>
            <w:tcW w:w="337"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(3.2%)</w:t>
            </w:r>
          </w:p>
        </w:tc>
        <w:tc>
          <w:tcPr>
            <w:tcW w:w="47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0</w:t>
            </w:r>
          </w:p>
        </w:tc>
        <w:tc>
          <w:tcPr>
            <w:tcW w:w="474"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0</w:t>
            </w:r>
          </w:p>
        </w:tc>
        <w:tc>
          <w:tcPr>
            <w:tcW w:w="41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(4,</w:t>
            </w:r>
            <w:r w:rsidR="00AE533C">
              <w:rPr>
                <w:b/>
                <w:bCs/>
                <w:sz w:val="20"/>
                <w:szCs w:val="20"/>
              </w:rPr>
              <w:t>729</w:t>
            </w:r>
            <w:r>
              <w:rPr>
                <w:b/>
                <w:bCs/>
                <w:sz w:val="20"/>
                <w:szCs w:val="20"/>
              </w:rPr>
              <w:t>,891)</w:t>
            </w:r>
          </w:p>
        </w:tc>
        <w:tc>
          <w:tcPr>
            <w:tcW w:w="406"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(4,</w:t>
            </w:r>
            <w:r w:rsidR="00AE533C">
              <w:rPr>
                <w:b/>
                <w:bCs/>
                <w:sz w:val="20"/>
                <w:szCs w:val="20"/>
              </w:rPr>
              <w:t>729</w:t>
            </w:r>
            <w:r>
              <w:rPr>
                <w:b/>
                <w:bCs/>
                <w:sz w:val="20"/>
                <w:szCs w:val="20"/>
              </w:rPr>
              <w:t>,891)</w:t>
            </w:r>
          </w:p>
        </w:tc>
        <w:tc>
          <w:tcPr>
            <w:tcW w:w="245"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0.0%</w:t>
            </w:r>
          </w:p>
        </w:tc>
        <w:tc>
          <w:tcPr>
            <w:tcW w:w="383" w:type="pct"/>
            <w:tcBorders>
              <w:top w:val="nil"/>
              <w:left w:val="nil"/>
              <w:bottom w:val="single" w:sz="4" w:space="0" w:color="auto"/>
              <w:right w:val="single" w:sz="4" w:space="0" w:color="auto"/>
            </w:tcBorders>
            <w:shd w:val="clear" w:color="000000" w:fill="C0C0C0"/>
            <w:noWrap/>
            <w:vAlign w:val="center"/>
            <w:hideMark/>
          </w:tcPr>
          <w:p w:rsidR="006B2699" w:rsidRPr="00C25D35" w:rsidRDefault="006B2699" w:rsidP="00C25D35">
            <w:pPr>
              <w:spacing w:after="0" w:line="240" w:lineRule="auto"/>
              <w:jc w:val="right"/>
              <w:rPr>
                <w:b/>
                <w:bCs/>
                <w:sz w:val="20"/>
                <w:szCs w:val="20"/>
                <w:lang w:eastAsia="en-GB"/>
              </w:rPr>
            </w:pPr>
            <w:r>
              <w:rPr>
                <w:b/>
                <w:bCs/>
                <w:sz w:val="20"/>
                <w:szCs w:val="20"/>
              </w:rPr>
              <w:t>(5,284,960)</w:t>
            </w:r>
          </w:p>
        </w:tc>
        <w:tc>
          <w:tcPr>
            <w:tcW w:w="310" w:type="pct"/>
            <w:tcBorders>
              <w:top w:val="nil"/>
              <w:left w:val="nil"/>
              <w:bottom w:val="single" w:sz="4" w:space="0" w:color="auto"/>
              <w:right w:val="single" w:sz="4" w:space="0" w:color="auto"/>
            </w:tcBorders>
            <w:shd w:val="clear" w:color="000000" w:fill="C0C0C0"/>
            <w:noWrap/>
            <w:vAlign w:val="center"/>
            <w:hideMark/>
          </w:tcPr>
          <w:p w:rsidR="006B2699" w:rsidRPr="00C25D35" w:rsidRDefault="00AE533C" w:rsidP="00C25D35">
            <w:pPr>
              <w:spacing w:after="0" w:line="240" w:lineRule="auto"/>
              <w:jc w:val="right"/>
              <w:rPr>
                <w:b/>
                <w:bCs/>
                <w:sz w:val="20"/>
                <w:szCs w:val="20"/>
                <w:lang w:eastAsia="en-GB"/>
              </w:rPr>
            </w:pPr>
            <w:r>
              <w:rPr>
                <w:b/>
                <w:bCs/>
                <w:sz w:val="20"/>
                <w:szCs w:val="20"/>
              </w:rPr>
              <w:t>555</w:t>
            </w:r>
            <w:r w:rsidR="006B2699">
              <w:rPr>
                <w:b/>
                <w:bCs/>
                <w:sz w:val="20"/>
                <w:szCs w:val="20"/>
              </w:rPr>
              <w:t>,069</w:t>
            </w:r>
          </w:p>
        </w:tc>
      </w:tr>
    </w:tbl>
    <w:p w:rsidR="003004D5" w:rsidRDefault="003004D5" w:rsidP="008819B7">
      <w:pPr>
        <w:pStyle w:val="NormalSm"/>
        <w:spacing w:after="0"/>
        <w:outlineLvl w:val="0"/>
        <w:rPr>
          <w:b/>
          <w:highlight w:val="yellow"/>
        </w:rPr>
      </w:pPr>
    </w:p>
    <w:p w:rsidR="003004D5" w:rsidRDefault="003004D5" w:rsidP="008819B7">
      <w:pPr>
        <w:pStyle w:val="NormalSm"/>
        <w:spacing w:after="0"/>
        <w:outlineLvl w:val="0"/>
        <w:rPr>
          <w:b/>
          <w:highlight w:val="yellow"/>
        </w:rPr>
        <w:sectPr w:rsidR="003004D5" w:rsidSect="003D05C9">
          <w:headerReference w:type="default" r:id="rId18"/>
          <w:headerReference w:type="first" r:id="rId19"/>
          <w:pgSz w:w="16840" w:h="11907" w:orient="landscape" w:code="9"/>
          <w:pgMar w:top="830" w:right="1361" w:bottom="850" w:left="1361" w:header="567" w:footer="454" w:gutter="0"/>
          <w:cols w:space="708"/>
          <w:docGrid w:linePitch="360"/>
        </w:sectPr>
      </w:pPr>
    </w:p>
    <w:p w:rsidR="0070121A" w:rsidRDefault="0070121A" w:rsidP="0070121A">
      <w:pPr>
        <w:rPr>
          <w:sz w:val="24"/>
          <w:lang w:eastAsia="en-GB"/>
        </w:rPr>
      </w:pPr>
      <w:r w:rsidRPr="00B93D2C">
        <w:rPr>
          <w:sz w:val="24"/>
          <w:lang w:eastAsia="en-GB"/>
        </w:rPr>
        <w:t xml:space="preserve">The table below shows a summary of the movements since the </w:t>
      </w:r>
      <w:r>
        <w:rPr>
          <w:sz w:val="24"/>
          <w:lang w:eastAsia="en-GB"/>
        </w:rPr>
        <w:t xml:space="preserve">quarter two </w:t>
      </w:r>
      <w:r w:rsidRPr="00B93D2C">
        <w:rPr>
          <w:sz w:val="24"/>
          <w:lang w:eastAsia="en-GB"/>
        </w:rPr>
        <w:t>budget report</w:t>
      </w:r>
      <w:r>
        <w:rPr>
          <w:sz w:val="24"/>
          <w:lang w:eastAsia="en-GB"/>
        </w:rPr>
        <w:t xml:space="preserve"> (FEP2792)</w:t>
      </w:r>
      <w:r w:rsidRPr="00B93D2C">
        <w:rPr>
          <w:sz w:val="24"/>
          <w:lang w:eastAsia="en-GB"/>
        </w:rPr>
        <w:t xml:space="preserve"> and the impact on the capital budget in future years.</w:t>
      </w:r>
    </w:p>
    <w:tbl>
      <w:tblPr>
        <w:tblStyle w:val="TableGrid"/>
        <w:tblpPr w:leftFromText="180" w:rightFromText="180" w:vertAnchor="page" w:horzAnchor="margin" w:tblpXSpec="center" w:tblpY="2134"/>
        <w:tblW w:w="11057" w:type="dxa"/>
        <w:tblLayout w:type="fixed"/>
        <w:tblLook w:val="04A0" w:firstRow="1" w:lastRow="0" w:firstColumn="1" w:lastColumn="0" w:noHBand="0" w:noVBand="1"/>
      </w:tblPr>
      <w:tblGrid>
        <w:gridCol w:w="3261"/>
        <w:gridCol w:w="992"/>
        <w:gridCol w:w="1134"/>
        <w:gridCol w:w="993"/>
        <w:gridCol w:w="992"/>
        <w:gridCol w:w="1134"/>
        <w:gridCol w:w="2551"/>
      </w:tblGrid>
      <w:tr w:rsidR="00C70AB8" w:rsidRPr="00B93D2C" w:rsidTr="00C70AB8">
        <w:tc>
          <w:tcPr>
            <w:tcW w:w="3261" w:type="dxa"/>
          </w:tcPr>
          <w:p w:rsidR="00C70AB8" w:rsidRPr="00B93D2C" w:rsidRDefault="00C70AB8" w:rsidP="00B40D9E">
            <w:pPr>
              <w:spacing w:after="0"/>
              <w:rPr>
                <w:b/>
                <w:sz w:val="20"/>
                <w:szCs w:val="20"/>
                <w:lang w:eastAsia="en-GB"/>
              </w:rPr>
            </w:pPr>
            <w:r w:rsidRPr="00B93D2C">
              <w:rPr>
                <w:b/>
                <w:sz w:val="20"/>
                <w:szCs w:val="20"/>
                <w:lang w:eastAsia="en-GB"/>
              </w:rPr>
              <w:t>Budget Year</w:t>
            </w:r>
          </w:p>
        </w:tc>
        <w:tc>
          <w:tcPr>
            <w:tcW w:w="992" w:type="dxa"/>
          </w:tcPr>
          <w:p w:rsidR="00C70AB8" w:rsidRPr="00B93D2C" w:rsidRDefault="00C70AB8" w:rsidP="00B40D9E">
            <w:pPr>
              <w:spacing w:after="0"/>
              <w:rPr>
                <w:b/>
                <w:sz w:val="20"/>
                <w:szCs w:val="20"/>
                <w:lang w:eastAsia="en-GB"/>
              </w:rPr>
            </w:pPr>
            <w:r w:rsidRPr="00B93D2C">
              <w:rPr>
                <w:b/>
                <w:sz w:val="20"/>
                <w:szCs w:val="20"/>
                <w:lang w:eastAsia="en-GB"/>
              </w:rPr>
              <w:t>2017-18</w:t>
            </w:r>
          </w:p>
        </w:tc>
        <w:tc>
          <w:tcPr>
            <w:tcW w:w="1134" w:type="dxa"/>
          </w:tcPr>
          <w:p w:rsidR="00C70AB8" w:rsidRPr="00B93D2C" w:rsidRDefault="00C70AB8" w:rsidP="00B40D9E">
            <w:pPr>
              <w:spacing w:after="0"/>
              <w:rPr>
                <w:b/>
                <w:sz w:val="20"/>
                <w:szCs w:val="20"/>
                <w:lang w:eastAsia="en-GB"/>
              </w:rPr>
            </w:pPr>
            <w:r w:rsidRPr="00B93D2C">
              <w:rPr>
                <w:b/>
                <w:sz w:val="20"/>
                <w:szCs w:val="20"/>
                <w:lang w:eastAsia="en-GB"/>
              </w:rPr>
              <w:t>2018-19</w:t>
            </w:r>
          </w:p>
        </w:tc>
        <w:tc>
          <w:tcPr>
            <w:tcW w:w="993" w:type="dxa"/>
          </w:tcPr>
          <w:p w:rsidR="00C70AB8" w:rsidRPr="00B93D2C" w:rsidRDefault="00C70AB8" w:rsidP="00B40D9E">
            <w:pPr>
              <w:spacing w:after="0"/>
              <w:rPr>
                <w:b/>
                <w:sz w:val="20"/>
                <w:szCs w:val="20"/>
                <w:lang w:eastAsia="en-GB"/>
              </w:rPr>
            </w:pPr>
            <w:r w:rsidRPr="00B93D2C">
              <w:rPr>
                <w:b/>
                <w:sz w:val="20"/>
                <w:szCs w:val="20"/>
                <w:lang w:eastAsia="en-GB"/>
              </w:rPr>
              <w:t>2019-20</w:t>
            </w:r>
          </w:p>
        </w:tc>
        <w:tc>
          <w:tcPr>
            <w:tcW w:w="992" w:type="dxa"/>
          </w:tcPr>
          <w:p w:rsidR="00C70AB8" w:rsidRPr="00B93D2C" w:rsidRDefault="00C70AB8" w:rsidP="00B40D9E">
            <w:pPr>
              <w:spacing w:after="0"/>
              <w:rPr>
                <w:b/>
                <w:sz w:val="20"/>
                <w:szCs w:val="20"/>
                <w:lang w:eastAsia="en-GB"/>
              </w:rPr>
            </w:pPr>
            <w:r w:rsidRPr="00B93D2C">
              <w:rPr>
                <w:b/>
                <w:sz w:val="20"/>
                <w:szCs w:val="20"/>
                <w:lang w:eastAsia="en-GB"/>
              </w:rPr>
              <w:t>20</w:t>
            </w:r>
            <w:r>
              <w:rPr>
                <w:b/>
                <w:sz w:val="20"/>
                <w:szCs w:val="20"/>
                <w:lang w:eastAsia="en-GB"/>
              </w:rPr>
              <w:t>20</w:t>
            </w:r>
            <w:r w:rsidRPr="00B93D2C">
              <w:rPr>
                <w:b/>
                <w:sz w:val="20"/>
                <w:szCs w:val="20"/>
                <w:lang w:eastAsia="en-GB"/>
              </w:rPr>
              <w:t>-2</w:t>
            </w:r>
            <w:r>
              <w:rPr>
                <w:b/>
                <w:sz w:val="20"/>
                <w:szCs w:val="20"/>
                <w:lang w:eastAsia="en-GB"/>
              </w:rPr>
              <w:t>1</w:t>
            </w:r>
          </w:p>
        </w:tc>
        <w:tc>
          <w:tcPr>
            <w:tcW w:w="1134" w:type="dxa"/>
          </w:tcPr>
          <w:p w:rsidR="00C70AB8" w:rsidRPr="00B93D2C" w:rsidRDefault="00C70AB8" w:rsidP="00B40D9E">
            <w:pPr>
              <w:spacing w:after="0"/>
              <w:rPr>
                <w:b/>
                <w:sz w:val="20"/>
                <w:szCs w:val="20"/>
                <w:lang w:eastAsia="en-GB"/>
              </w:rPr>
            </w:pPr>
            <w:r>
              <w:rPr>
                <w:b/>
                <w:sz w:val="20"/>
                <w:szCs w:val="20"/>
                <w:lang w:eastAsia="en-GB"/>
              </w:rPr>
              <w:t>2021-22</w:t>
            </w:r>
          </w:p>
        </w:tc>
        <w:tc>
          <w:tcPr>
            <w:tcW w:w="2551" w:type="dxa"/>
          </w:tcPr>
          <w:p w:rsidR="00C70AB8" w:rsidRPr="00B93D2C" w:rsidRDefault="00C70AB8" w:rsidP="00B40D9E">
            <w:pPr>
              <w:spacing w:after="0"/>
              <w:rPr>
                <w:b/>
                <w:sz w:val="20"/>
                <w:szCs w:val="20"/>
                <w:lang w:eastAsia="en-GB"/>
              </w:rPr>
            </w:pPr>
            <w:r w:rsidRPr="00B93D2C">
              <w:rPr>
                <w:b/>
                <w:sz w:val="20"/>
                <w:szCs w:val="20"/>
                <w:lang w:eastAsia="en-GB"/>
              </w:rPr>
              <w:t>Notes</w:t>
            </w:r>
          </w:p>
        </w:tc>
      </w:tr>
      <w:tr w:rsidR="00C70AB8" w:rsidRPr="00B93D2C" w:rsidTr="00C70AB8">
        <w:trPr>
          <w:trHeight w:val="139"/>
        </w:trPr>
        <w:tc>
          <w:tcPr>
            <w:tcW w:w="3261" w:type="dxa"/>
          </w:tcPr>
          <w:p w:rsidR="00C70AB8" w:rsidRPr="00CA4AF6" w:rsidRDefault="00C70AB8" w:rsidP="00B40D9E">
            <w:pPr>
              <w:spacing w:after="0"/>
              <w:rPr>
                <w:b/>
                <w:sz w:val="20"/>
                <w:szCs w:val="20"/>
                <w:lang w:eastAsia="en-GB"/>
              </w:rPr>
            </w:pPr>
            <w:r>
              <w:rPr>
                <w:b/>
                <w:sz w:val="20"/>
                <w:szCs w:val="20"/>
                <w:lang w:eastAsia="en-GB"/>
              </w:rPr>
              <w:t>Qtr 2 FEP 2792</w:t>
            </w:r>
            <w:r w:rsidRPr="00CA4AF6">
              <w:rPr>
                <w:b/>
                <w:sz w:val="20"/>
                <w:szCs w:val="20"/>
                <w:lang w:eastAsia="en-GB"/>
              </w:rPr>
              <w:t xml:space="preserve"> Resources Com </w:t>
            </w:r>
          </w:p>
        </w:tc>
        <w:tc>
          <w:tcPr>
            <w:tcW w:w="992" w:type="dxa"/>
          </w:tcPr>
          <w:p w:rsidR="00C70AB8" w:rsidRPr="00CA4AF6" w:rsidRDefault="00C70AB8" w:rsidP="00B40D9E">
            <w:pPr>
              <w:spacing w:after="0"/>
              <w:jc w:val="right"/>
              <w:rPr>
                <w:b/>
                <w:sz w:val="20"/>
                <w:szCs w:val="20"/>
                <w:lang w:eastAsia="en-GB"/>
              </w:rPr>
            </w:pPr>
            <w:r>
              <w:rPr>
                <w:b/>
                <w:sz w:val="20"/>
                <w:szCs w:val="20"/>
                <w:lang w:eastAsia="en-GB"/>
              </w:rPr>
              <w:t>17</w:t>
            </w:r>
            <w:r w:rsidRPr="002038EC">
              <w:rPr>
                <w:b/>
                <w:sz w:val="20"/>
                <w:szCs w:val="20"/>
                <w:lang w:eastAsia="en-GB"/>
              </w:rPr>
              <w:t>,</w:t>
            </w:r>
            <w:r>
              <w:rPr>
                <w:b/>
                <w:sz w:val="20"/>
                <w:szCs w:val="20"/>
                <w:lang w:eastAsia="en-GB"/>
              </w:rPr>
              <w:t>995</w:t>
            </w:r>
          </w:p>
        </w:tc>
        <w:tc>
          <w:tcPr>
            <w:tcW w:w="1134" w:type="dxa"/>
          </w:tcPr>
          <w:p w:rsidR="00C70AB8" w:rsidRPr="00CA4AF6" w:rsidRDefault="00C70AB8" w:rsidP="00B40D9E">
            <w:pPr>
              <w:spacing w:after="0"/>
              <w:jc w:val="right"/>
              <w:rPr>
                <w:b/>
                <w:sz w:val="20"/>
                <w:szCs w:val="20"/>
                <w:lang w:eastAsia="en-GB"/>
              </w:rPr>
            </w:pPr>
            <w:r>
              <w:rPr>
                <w:b/>
                <w:sz w:val="20"/>
                <w:szCs w:val="20"/>
                <w:lang w:eastAsia="en-GB"/>
              </w:rPr>
              <w:t>41,674</w:t>
            </w:r>
          </w:p>
        </w:tc>
        <w:tc>
          <w:tcPr>
            <w:tcW w:w="993" w:type="dxa"/>
          </w:tcPr>
          <w:p w:rsidR="00C70AB8" w:rsidRPr="00CA4AF6" w:rsidRDefault="00C70AB8" w:rsidP="00B40D9E">
            <w:pPr>
              <w:spacing w:after="0"/>
              <w:jc w:val="right"/>
              <w:rPr>
                <w:b/>
                <w:sz w:val="20"/>
                <w:szCs w:val="20"/>
                <w:lang w:eastAsia="en-GB"/>
              </w:rPr>
            </w:pPr>
            <w:r>
              <w:rPr>
                <w:b/>
                <w:sz w:val="20"/>
                <w:szCs w:val="20"/>
                <w:lang w:eastAsia="en-GB"/>
              </w:rPr>
              <w:t>41</w:t>
            </w:r>
            <w:r w:rsidRPr="002038EC">
              <w:rPr>
                <w:b/>
                <w:sz w:val="20"/>
                <w:szCs w:val="20"/>
                <w:lang w:eastAsia="en-GB"/>
              </w:rPr>
              <w:t>,</w:t>
            </w:r>
            <w:r>
              <w:rPr>
                <w:b/>
                <w:sz w:val="20"/>
                <w:szCs w:val="20"/>
                <w:lang w:eastAsia="en-GB"/>
              </w:rPr>
              <w:t>232</w:t>
            </w:r>
          </w:p>
        </w:tc>
        <w:tc>
          <w:tcPr>
            <w:tcW w:w="992" w:type="dxa"/>
          </w:tcPr>
          <w:p w:rsidR="00C70AB8" w:rsidRPr="00CA4AF6" w:rsidRDefault="00C70AB8" w:rsidP="00B40D9E">
            <w:pPr>
              <w:spacing w:after="0"/>
              <w:jc w:val="right"/>
              <w:rPr>
                <w:b/>
                <w:sz w:val="20"/>
                <w:szCs w:val="20"/>
                <w:lang w:eastAsia="en-GB"/>
              </w:rPr>
            </w:pPr>
            <w:r>
              <w:rPr>
                <w:b/>
                <w:sz w:val="20"/>
                <w:szCs w:val="20"/>
                <w:lang w:eastAsia="en-GB"/>
              </w:rPr>
              <w:t>22</w:t>
            </w:r>
            <w:r w:rsidRPr="002038EC">
              <w:rPr>
                <w:b/>
                <w:sz w:val="20"/>
                <w:szCs w:val="20"/>
                <w:lang w:eastAsia="en-GB"/>
              </w:rPr>
              <w:t>,</w:t>
            </w:r>
            <w:r>
              <w:rPr>
                <w:b/>
                <w:sz w:val="20"/>
                <w:szCs w:val="20"/>
                <w:lang w:eastAsia="en-GB"/>
              </w:rPr>
              <w:t>530</w:t>
            </w:r>
          </w:p>
        </w:tc>
        <w:tc>
          <w:tcPr>
            <w:tcW w:w="1134" w:type="dxa"/>
          </w:tcPr>
          <w:p w:rsidR="00C70AB8" w:rsidRPr="00CF7913" w:rsidRDefault="00C70AB8" w:rsidP="00B40D9E">
            <w:pPr>
              <w:spacing w:after="0"/>
              <w:jc w:val="right"/>
              <w:rPr>
                <w:b/>
                <w:sz w:val="20"/>
                <w:szCs w:val="20"/>
                <w:lang w:eastAsia="en-GB"/>
              </w:rPr>
            </w:pPr>
            <w:r w:rsidRPr="00CF7913">
              <w:rPr>
                <w:b/>
                <w:sz w:val="20"/>
                <w:szCs w:val="20"/>
                <w:lang w:eastAsia="en-GB"/>
              </w:rPr>
              <w:t>21,410</w:t>
            </w:r>
          </w:p>
        </w:tc>
        <w:tc>
          <w:tcPr>
            <w:tcW w:w="2551" w:type="dxa"/>
          </w:tcPr>
          <w:p w:rsidR="00C70AB8" w:rsidRPr="00CA4AF6" w:rsidRDefault="00C70AB8" w:rsidP="00B40D9E">
            <w:pPr>
              <w:spacing w:after="0"/>
              <w:rPr>
                <w:sz w:val="20"/>
                <w:szCs w:val="20"/>
                <w:lang w:eastAsia="en-GB"/>
              </w:rPr>
            </w:pPr>
          </w:p>
        </w:tc>
      </w:tr>
      <w:tr w:rsidR="00C70AB8" w:rsidRPr="00B93D2C" w:rsidTr="00C70AB8">
        <w:trPr>
          <w:trHeight w:val="139"/>
        </w:trPr>
        <w:tc>
          <w:tcPr>
            <w:tcW w:w="3261" w:type="dxa"/>
          </w:tcPr>
          <w:p w:rsidR="00C70AB8" w:rsidRPr="00EE3E5B" w:rsidRDefault="00C70AB8" w:rsidP="00B40D9E">
            <w:pPr>
              <w:spacing w:after="0"/>
              <w:rPr>
                <w:sz w:val="20"/>
                <w:szCs w:val="20"/>
                <w:lang w:eastAsia="en-GB"/>
              </w:rPr>
            </w:pPr>
            <w:r>
              <w:rPr>
                <w:sz w:val="20"/>
                <w:szCs w:val="20"/>
                <w:lang w:eastAsia="en-GB"/>
              </w:rPr>
              <w:t>New Training Centre</w:t>
            </w:r>
          </w:p>
        </w:tc>
        <w:tc>
          <w:tcPr>
            <w:tcW w:w="992" w:type="dxa"/>
          </w:tcPr>
          <w:p w:rsidR="00C70AB8" w:rsidRPr="00EE3E5B" w:rsidRDefault="00C70AB8" w:rsidP="00B40D9E">
            <w:pPr>
              <w:spacing w:after="0"/>
              <w:jc w:val="right"/>
              <w:rPr>
                <w:sz w:val="20"/>
                <w:szCs w:val="20"/>
                <w:lang w:eastAsia="en-GB"/>
              </w:rPr>
            </w:pPr>
            <w:r>
              <w:rPr>
                <w:sz w:val="20"/>
                <w:szCs w:val="20"/>
                <w:lang w:eastAsia="en-GB"/>
              </w:rPr>
              <w:t>95</w:t>
            </w:r>
          </w:p>
        </w:tc>
        <w:tc>
          <w:tcPr>
            <w:tcW w:w="1134" w:type="dxa"/>
          </w:tcPr>
          <w:p w:rsidR="00C70AB8" w:rsidRPr="00EE3E5B" w:rsidRDefault="00C70AB8" w:rsidP="00B40D9E">
            <w:pPr>
              <w:spacing w:after="0"/>
              <w:jc w:val="right"/>
              <w:rPr>
                <w:sz w:val="20"/>
                <w:szCs w:val="20"/>
                <w:lang w:eastAsia="en-GB"/>
              </w:rPr>
            </w:pPr>
            <w:r>
              <w:rPr>
                <w:sz w:val="20"/>
                <w:szCs w:val="20"/>
                <w:lang w:eastAsia="en-GB"/>
              </w:rPr>
              <w:t>(486)</w:t>
            </w:r>
          </w:p>
        </w:tc>
        <w:tc>
          <w:tcPr>
            <w:tcW w:w="993" w:type="dxa"/>
          </w:tcPr>
          <w:p w:rsidR="00C70AB8" w:rsidRPr="00EE3E5B" w:rsidRDefault="00C70AB8" w:rsidP="00B40D9E">
            <w:pPr>
              <w:spacing w:after="0"/>
              <w:jc w:val="right"/>
              <w:rPr>
                <w:sz w:val="20"/>
                <w:szCs w:val="20"/>
                <w:lang w:eastAsia="en-GB"/>
              </w:rPr>
            </w:pPr>
            <w:r>
              <w:rPr>
                <w:sz w:val="20"/>
                <w:szCs w:val="20"/>
                <w:lang w:eastAsia="en-GB"/>
              </w:rPr>
              <w:t>(141)</w:t>
            </w:r>
          </w:p>
        </w:tc>
        <w:tc>
          <w:tcPr>
            <w:tcW w:w="992" w:type="dxa"/>
          </w:tcPr>
          <w:p w:rsidR="00C70AB8" w:rsidRPr="00EE3E5B" w:rsidRDefault="00C70AB8" w:rsidP="00B40D9E">
            <w:pPr>
              <w:spacing w:after="0"/>
              <w:jc w:val="right"/>
              <w:rPr>
                <w:sz w:val="20"/>
                <w:szCs w:val="20"/>
                <w:lang w:eastAsia="en-GB"/>
              </w:rPr>
            </w:pPr>
            <w:r>
              <w:rPr>
                <w:sz w:val="20"/>
                <w:szCs w:val="20"/>
                <w:lang w:eastAsia="en-GB"/>
              </w:rPr>
              <w:t>532</w:t>
            </w:r>
          </w:p>
        </w:tc>
        <w:tc>
          <w:tcPr>
            <w:tcW w:w="1134" w:type="dxa"/>
          </w:tcPr>
          <w:p w:rsidR="00C70AB8" w:rsidRDefault="00C70AB8" w:rsidP="00B40D9E">
            <w:pPr>
              <w:spacing w:after="0"/>
              <w:jc w:val="right"/>
              <w:rPr>
                <w:sz w:val="20"/>
                <w:szCs w:val="20"/>
                <w:lang w:eastAsia="en-GB"/>
              </w:rPr>
            </w:pPr>
          </w:p>
        </w:tc>
        <w:tc>
          <w:tcPr>
            <w:tcW w:w="2551" w:type="dxa"/>
          </w:tcPr>
          <w:p w:rsidR="00C70AB8" w:rsidRPr="00EE3E5B" w:rsidRDefault="00C70AB8" w:rsidP="00B40D9E">
            <w:pPr>
              <w:spacing w:after="0"/>
              <w:rPr>
                <w:sz w:val="20"/>
                <w:szCs w:val="20"/>
                <w:lang w:eastAsia="en-GB"/>
              </w:rPr>
            </w:pPr>
            <w:r>
              <w:rPr>
                <w:sz w:val="20"/>
                <w:szCs w:val="20"/>
                <w:lang w:eastAsia="en-GB"/>
              </w:rPr>
              <w:t>Budget re-phasing</w:t>
            </w:r>
          </w:p>
        </w:tc>
      </w:tr>
      <w:tr w:rsidR="00C70AB8" w:rsidRPr="00B93D2C" w:rsidTr="00C70AB8">
        <w:trPr>
          <w:trHeight w:val="139"/>
        </w:trPr>
        <w:tc>
          <w:tcPr>
            <w:tcW w:w="3261" w:type="dxa"/>
          </w:tcPr>
          <w:p w:rsidR="00C70AB8" w:rsidRDefault="00C70AB8" w:rsidP="00B40D9E">
            <w:pPr>
              <w:spacing w:after="0"/>
              <w:rPr>
                <w:sz w:val="20"/>
                <w:szCs w:val="20"/>
                <w:lang w:eastAsia="en-GB"/>
              </w:rPr>
            </w:pPr>
            <w:r>
              <w:rPr>
                <w:sz w:val="20"/>
                <w:szCs w:val="20"/>
                <w:lang w:eastAsia="en-GB"/>
              </w:rPr>
              <w:t>Fire Safety Works</w:t>
            </w:r>
          </w:p>
        </w:tc>
        <w:tc>
          <w:tcPr>
            <w:tcW w:w="992" w:type="dxa"/>
          </w:tcPr>
          <w:p w:rsidR="00C70AB8" w:rsidRDefault="00C70AB8" w:rsidP="00B40D9E">
            <w:pPr>
              <w:spacing w:after="0"/>
              <w:jc w:val="right"/>
              <w:rPr>
                <w:sz w:val="20"/>
                <w:szCs w:val="20"/>
                <w:lang w:eastAsia="en-GB"/>
              </w:rPr>
            </w:pPr>
            <w:r>
              <w:rPr>
                <w:sz w:val="20"/>
                <w:szCs w:val="20"/>
                <w:lang w:eastAsia="en-GB"/>
              </w:rPr>
              <w:t>(47)</w:t>
            </w:r>
          </w:p>
        </w:tc>
        <w:tc>
          <w:tcPr>
            <w:tcW w:w="1134" w:type="dxa"/>
          </w:tcPr>
          <w:p w:rsidR="00C70AB8" w:rsidRDefault="00C70AB8" w:rsidP="00B40D9E">
            <w:pPr>
              <w:spacing w:after="0"/>
              <w:jc w:val="right"/>
              <w:rPr>
                <w:sz w:val="20"/>
                <w:szCs w:val="20"/>
                <w:lang w:eastAsia="en-GB"/>
              </w:rPr>
            </w:pPr>
            <w:r>
              <w:rPr>
                <w:sz w:val="20"/>
                <w:szCs w:val="20"/>
                <w:lang w:eastAsia="en-GB"/>
              </w:rPr>
              <w:t>47</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C221EA">
              <w:rPr>
                <w:sz w:val="20"/>
                <w:szCs w:val="20"/>
                <w:lang w:eastAsia="en-GB"/>
              </w:rPr>
              <w:t>Budget re-phasing</w:t>
            </w:r>
          </w:p>
        </w:tc>
      </w:tr>
      <w:tr w:rsidR="00C70AB8" w:rsidRPr="00B93D2C" w:rsidTr="00C70AB8">
        <w:trPr>
          <w:trHeight w:val="139"/>
        </w:trPr>
        <w:tc>
          <w:tcPr>
            <w:tcW w:w="3261" w:type="dxa"/>
            <w:vAlign w:val="center"/>
          </w:tcPr>
          <w:p w:rsidR="00C70AB8" w:rsidRDefault="00C70AB8" w:rsidP="00B40D9E">
            <w:pPr>
              <w:spacing w:after="0"/>
              <w:rPr>
                <w:sz w:val="20"/>
                <w:szCs w:val="20"/>
                <w:lang w:eastAsia="en-GB"/>
              </w:rPr>
            </w:pPr>
            <w:r>
              <w:rPr>
                <w:sz w:val="20"/>
                <w:szCs w:val="20"/>
                <w:lang w:eastAsia="en-GB"/>
              </w:rPr>
              <w:t>Appliance Bay Doors – Shoreditch FS</w:t>
            </w:r>
          </w:p>
        </w:tc>
        <w:tc>
          <w:tcPr>
            <w:tcW w:w="992" w:type="dxa"/>
          </w:tcPr>
          <w:p w:rsidR="00C70AB8" w:rsidRDefault="00C70AB8" w:rsidP="00B40D9E">
            <w:pPr>
              <w:spacing w:after="0"/>
              <w:jc w:val="right"/>
              <w:rPr>
                <w:sz w:val="20"/>
                <w:szCs w:val="20"/>
                <w:lang w:eastAsia="en-GB"/>
              </w:rPr>
            </w:pPr>
            <w:r>
              <w:rPr>
                <w:sz w:val="20"/>
                <w:szCs w:val="20"/>
                <w:lang w:eastAsia="en-GB"/>
              </w:rPr>
              <w:t>(217)</w:t>
            </w:r>
          </w:p>
        </w:tc>
        <w:tc>
          <w:tcPr>
            <w:tcW w:w="1134" w:type="dxa"/>
          </w:tcPr>
          <w:p w:rsidR="00C70AB8" w:rsidRDefault="00C70AB8" w:rsidP="00B40D9E">
            <w:pPr>
              <w:spacing w:after="0"/>
              <w:jc w:val="right"/>
              <w:rPr>
                <w:sz w:val="20"/>
                <w:szCs w:val="20"/>
                <w:lang w:eastAsia="en-GB"/>
              </w:rPr>
            </w:pPr>
            <w:r>
              <w:rPr>
                <w:sz w:val="20"/>
                <w:szCs w:val="20"/>
                <w:lang w:eastAsia="en-GB"/>
              </w:rPr>
              <w:t>217</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C221EA">
              <w:rPr>
                <w:sz w:val="20"/>
                <w:szCs w:val="20"/>
                <w:lang w:eastAsia="en-GB"/>
              </w:rPr>
              <w:t>Budget re-phasing</w:t>
            </w:r>
          </w:p>
        </w:tc>
      </w:tr>
      <w:tr w:rsidR="00C70AB8" w:rsidRPr="00B93D2C" w:rsidTr="00C70AB8">
        <w:trPr>
          <w:trHeight w:val="139"/>
        </w:trPr>
        <w:tc>
          <w:tcPr>
            <w:tcW w:w="3261" w:type="dxa"/>
            <w:vAlign w:val="center"/>
          </w:tcPr>
          <w:p w:rsidR="00C70AB8" w:rsidRDefault="00C70AB8" w:rsidP="00B40D9E">
            <w:pPr>
              <w:spacing w:after="0"/>
              <w:rPr>
                <w:sz w:val="20"/>
                <w:szCs w:val="20"/>
                <w:lang w:eastAsia="en-GB"/>
              </w:rPr>
            </w:pPr>
            <w:r>
              <w:rPr>
                <w:bCs/>
                <w:sz w:val="20"/>
                <w:szCs w:val="20"/>
                <w:lang w:eastAsia="en-GB"/>
              </w:rPr>
              <w:t>Appliance Bay Doors – Wimbledon FS</w:t>
            </w:r>
          </w:p>
        </w:tc>
        <w:tc>
          <w:tcPr>
            <w:tcW w:w="992" w:type="dxa"/>
          </w:tcPr>
          <w:p w:rsidR="00C70AB8" w:rsidRDefault="00C70AB8" w:rsidP="00B40D9E">
            <w:pPr>
              <w:spacing w:after="0"/>
              <w:jc w:val="right"/>
              <w:rPr>
                <w:sz w:val="20"/>
                <w:szCs w:val="20"/>
                <w:lang w:eastAsia="en-GB"/>
              </w:rPr>
            </w:pPr>
            <w:r>
              <w:rPr>
                <w:sz w:val="20"/>
                <w:szCs w:val="20"/>
                <w:lang w:eastAsia="en-GB"/>
              </w:rPr>
              <w:t>(58)</w:t>
            </w:r>
          </w:p>
        </w:tc>
        <w:tc>
          <w:tcPr>
            <w:tcW w:w="1134" w:type="dxa"/>
          </w:tcPr>
          <w:p w:rsidR="00C70AB8" w:rsidRDefault="00C70AB8" w:rsidP="00B40D9E">
            <w:pPr>
              <w:spacing w:after="0"/>
              <w:jc w:val="right"/>
              <w:rPr>
                <w:sz w:val="20"/>
                <w:szCs w:val="20"/>
                <w:lang w:eastAsia="en-GB"/>
              </w:rPr>
            </w:pPr>
            <w:r>
              <w:rPr>
                <w:sz w:val="20"/>
                <w:szCs w:val="20"/>
                <w:lang w:eastAsia="en-GB"/>
              </w:rPr>
              <w:t>58</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C221EA">
              <w:rPr>
                <w:sz w:val="20"/>
                <w:szCs w:val="20"/>
                <w:lang w:eastAsia="en-GB"/>
              </w:rPr>
              <w:t>Budget re-phasing</w:t>
            </w:r>
          </w:p>
        </w:tc>
      </w:tr>
      <w:tr w:rsidR="00C70AB8" w:rsidRPr="00B93D2C" w:rsidTr="00C70AB8">
        <w:trPr>
          <w:trHeight w:val="139"/>
        </w:trPr>
        <w:tc>
          <w:tcPr>
            <w:tcW w:w="3261" w:type="dxa"/>
            <w:vAlign w:val="center"/>
          </w:tcPr>
          <w:p w:rsidR="00C70AB8" w:rsidRDefault="00C70AB8" w:rsidP="00B40D9E">
            <w:pPr>
              <w:spacing w:after="0"/>
              <w:rPr>
                <w:sz w:val="20"/>
                <w:szCs w:val="20"/>
                <w:lang w:eastAsia="en-GB"/>
              </w:rPr>
            </w:pPr>
            <w:r>
              <w:rPr>
                <w:bCs/>
                <w:sz w:val="20"/>
                <w:szCs w:val="20"/>
                <w:lang w:eastAsia="en-GB"/>
              </w:rPr>
              <w:t>Fulham FS Automated Yard Gates</w:t>
            </w:r>
          </w:p>
        </w:tc>
        <w:tc>
          <w:tcPr>
            <w:tcW w:w="992" w:type="dxa"/>
          </w:tcPr>
          <w:p w:rsidR="00C70AB8" w:rsidRDefault="00C70AB8" w:rsidP="00B40D9E">
            <w:pPr>
              <w:spacing w:after="0"/>
              <w:jc w:val="right"/>
              <w:rPr>
                <w:sz w:val="20"/>
                <w:szCs w:val="20"/>
                <w:lang w:eastAsia="en-GB"/>
              </w:rPr>
            </w:pPr>
            <w:r>
              <w:rPr>
                <w:sz w:val="20"/>
                <w:szCs w:val="20"/>
                <w:lang w:eastAsia="en-GB"/>
              </w:rPr>
              <w:t>(60)</w:t>
            </w:r>
          </w:p>
        </w:tc>
        <w:tc>
          <w:tcPr>
            <w:tcW w:w="1134" w:type="dxa"/>
          </w:tcPr>
          <w:p w:rsidR="00C70AB8" w:rsidRDefault="00C70AB8" w:rsidP="00B40D9E">
            <w:pPr>
              <w:spacing w:after="0"/>
              <w:jc w:val="right"/>
              <w:rPr>
                <w:sz w:val="20"/>
                <w:szCs w:val="20"/>
                <w:lang w:eastAsia="en-GB"/>
              </w:rPr>
            </w:pPr>
            <w:r>
              <w:rPr>
                <w:sz w:val="20"/>
                <w:szCs w:val="20"/>
                <w:lang w:eastAsia="en-GB"/>
              </w:rPr>
              <w:t>60</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C221EA">
              <w:rPr>
                <w:sz w:val="20"/>
                <w:szCs w:val="20"/>
                <w:lang w:eastAsia="en-GB"/>
              </w:rPr>
              <w:t>Budget re-phasing</w:t>
            </w:r>
          </w:p>
        </w:tc>
      </w:tr>
      <w:tr w:rsidR="00C70AB8" w:rsidRPr="00B93D2C" w:rsidTr="00C70AB8">
        <w:trPr>
          <w:trHeight w:val="139"/>
        </w:trPr>
        <w:tc>
          <w:tcPr>
            <w:tcW w:w="3261" w:type="dxa"/>
            <w:vAlign w:val="center"/>
          </w:tcPr>
          <w:p w:rsidR="00C70AB8" w:rsidRDefault="00C70AB8" w:rsidP="00B40D9E">
            <w:pPr>
              <w:spacing w:after="0"/>
              <w:rPr>
                <w:bCs/>
                <w:sz w:val="20"/>
                <w:szCs w:val="20"/>
                <w:lang w:eastAsia="en-GB"/>
              </w:rPr>
            </w:pPr>
            <w:r>
              <w:rPr>
                <w:bCs/>
                <w:sz w:val="20"/>
                <w:szCs w:val="20"/>
                <w:lang w:eastAsia="en-GB"/>
              </w:rPr>
              <w:t>Eltham FS – Shower Refurbishment</w:t>
            </w:r>
          </w:p>
        </w:tc>
        <w:tc>
          <w:tcPr>
            <w:tcW w:w="992" w:type="dxa"/>
          </w:tcPr>
          <w:p w:rsidR="00C70AB8" w:rsidRDefault="00C70AB8" w:rsidP="00B40D9E">
            <w:pPr>
              <w:spacing w:after="0"/>
              <w:jc w:val="right"/>
              <w:rPr>
                <w:sz w:val="20"/>
                <w:szCs w:val="20"/>
                <w:lang w:eastAsia="en-GB"/>
              </w:rPr>
            </w:pPr>
            <w:r>
              <w:rPr>
                <w:sz w:val="20"/>
                <w:szCs w:val="20"/>
                <w:lang w:eastAsia="en-GB"/>
              </w:rPr>
              <w:t>(108)</w:t>
            </w:r>
          </w:p>
        </w:tc>
        <w:tc>
          <w:tcPr>
            <w:tcW w:w="1134" w:type="dxa"/>
          </w:tcPr>
          <w:p w:rsidR="00C70AB8" w:rsidRDefault="00C70AB8" w:rsidP="00B40D9E">
            <w:pPr>
              <w:spacing w:after="0"/>
              <w:jc w:val="right"/>
              <w:rPr>
                <w:sz w:val="20"/>
                <w:szCs w:val="20"/>
                <w:lang w:eastAsia="en-GB"/>
              </w:rPr>
            </w:pPr>
            <w:r>
              <w:rPr>
                <w:sz w:val="20"/>
                <w:szCs w:val="20"/>
                <w:lang w:eastAsia="en-GB"/>
              </w:rPr>
              <w:t>108</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Pr="00C221EA" w:rsidRDefault="00C70AB8" w:rsidP="00B40D9E">
            <w:pPr>
              <w:spacing w:after="0"/>
              <w:rPr>
                <w:sz w:val="20"/>
                <w:szCs w:val="20"/>
                <w:lang w:eastAsia="en-GB"/>
              </w:rPr>
            </w:pPr>
            <w:r w:rsidRPr="00C221EA">
              <w:rPr>
                <w:sz w:val="20"/>
                <w:szCs w:val="20"/>
                <w:lang w:eastAsia="en-GB"/>
              </w:rPr>
              <w:t>Budget re-phasing</w:t>
            </w:r>
          </w:p>
        </w:tc>
      </w:tr>
      <w:tr w:rsidR="00C70AB8" w:rsidRPr="00B93D2C" w:rsidTr="00C70AB8">
        <w:trPr>
          <w:trHeight w:val="139"/>
        </w:trPr>
        <w:tc>
          <w:tcPr>
            <w:tcW w:w="3261" w:type="dxa"/>
            <w:vAlign w:val="center"/>
          </w:tcPr>
          <w:p w:rsidR="00C70AB8" w:rsidRDefault="00C70AB8" w:rsidP="00B40D9E">
            <w:pPr>
              <w:spacing w:after="0"/>
              <w:rPr>
                <w:bCs/>
                <w:sz w:val="20"/>
                <w:szCs w:val="20"/>
                <w:lang w:eastAsia="en-GB"/>
              </w:rPr>
            </w:pPr>
            <w:r>
              <w:rPr>
                <w:bCs/>
                <w:sz w:val="20"/>
                <w:szCs w:val="20"/>
                <w:lang w:eastAsia="en-GB"/>
              </w:rPr>
              <w:t>Development Costs</w:t>
            </w:r>
          </w:p>
        </w:tc>
        <w:tc>
          <w:tcPr>
            <w:tcW w:w="992" w:type="dxa"/>
          </w:tcPr>
          <w:p w:rsidR="00C70AB8" w:rsidRDefault="00C70AB8" w:rsidP="00B40D9E">
            <w:pPr>
              <w:spacing w:after="0"/>
              <w:jc w:val="right"/>
              <w:rPr>
                <w:sz w:val="20"/>
                <w:szCs w:val="20"/>
                <w:lang w:eastAsia="en-GB"/>
              </w:rPr>
            </w:pPr>
            <w:r>
              <w:rPr>
                <w:sz w:val="20"/>
                <w:szCs w:val="20"/>
                <w:lang w:eastAsia="en-GB"/>
              </w:rPr>
              <w:t>(77)</w:t>
            </w:r>
          </w:p>
        </w:tc>
        <w:tc>
          <w:tcPr>
            <w:tcW w:w="1134" w:type="dxa"/>
          </w:tcPr>
          <w:p w:rsidR="00C70AB8" w:rsidRDefault="00C70AB8" w:rsidP="00B40D9E">
            <w:pPr>
              <w:spacing w:after="0"/>
              <w:jc w:val="right"/>
              <w:rPr>
                <w:sz w:val="20"/>
                <w:szCs w:val="20"/>
                <w:lang w:eastAsia="en-GB"/>
              </w:rPr>
            </w:pP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Pr="00C221EA" w:rsidRDefault="00C70AB8" w:rsidP="00B40D9E">
            <w:pPr>
              <w:spacing w:after="0"/>
              <w:rPr>
                <w:sz w:val="20"/>
                <w:szCs w:val="20"/>
                <w:lang w:eastAsia="en-GB"/>
              </w:rPr>
            </w:pPr>
            <w:r>
              <w:rPr>
                <w:sz w:val="20"/>
                <w:szCs w:val="20"/>
                <w:lang w:eastAsia="en-GB"/>
              </w:rPr>
              <w:t>Budget saving</w:t>
            </w:r>
          </w:p>
        </w:tc>
      </w:tr>
      <w:tr w:rsidR="00C70AB8" w:rsidRPr="00B93D2C" w:rsidTr="00C70AB8">
        <w:trPr>
          <w:trHeight w:val="139"/>
        </w:trPr>
        <w:tc>
          <w:tcPr>
            <w:tcW w:w="3261" w:type="dxa"/>
          </w:tcPr>
          <w:p w:rsidR="00C70AB8" w:rsidRDefault="00C70AB8" w:rsidP="00B40D9E">
            <w:pPr>
              <w:spacing w:after="0"/>
              <w:rPr>
                <w:bCs/>
                <w:sz w:val="20"/>
                <w:szCs w:val="20"/>
                <w:lang w:eastAsia="en-GB"/>
              </w:rPr>
            </w:pPr>
            <w:r>
              <w:rPr>
                <w:sz w:val="20"/>
                <w:szCs w:val="20"/>
                <w:lang w:eastAsia="en-GB"/>
              </w:rPr>
              <w:t>Replacement of Laptops</w:t>
            </w:r>
          </w:p>
        </w:tc>
        <w:tc>
          <w:tcPr>
            <w:tcW w:w="992" w:type="dxa"/>
          </w:tcPr>
          <w:p w:rsidR="00C70AB8" w:rsidRDefault="00C70AB8" w:rsidP="00B40D9E">
            <w:pPr>
              <w:spacing w:after="0"/>
              <w:jc w:val="right"/>
              <w:rPr>
                <w:sz w:val="20"/>
                <w:szCs w:val="20"/>
                <w:lang w:eastAsia="en-GB"/>
              </w:rPr>
            </w:pPr>
            <w:r>
              <w:rPr>
                <w:sz w:val="20"/>
                <w:szCs w:val="20"/>
                <w:lang w:eastAsia="en-GB"/>
              </w:rPr>
              <w:t>103</w:t>
            </w:r>
          </w:p>
        </w:tc>
        <w:tc>
          <w:tcPr>
            <w:tcW w:w="1134" w:type="dxa"/>
          </w:tcPr>
          <w:p w:rsidR="00C70AB8" w:rsidRDefault="00C70AB8" w:rsidP="00B40D9E">
            <w:pPr>
              <w:spacing w:after="0"/>
              <w:jc w:val="right"/>
              <w:rPr>
                <w:sz w:val="20"/>
                <w:szCs w:val="20"/>
                <w:lang w:eastAsia="en-GB"/>
              </w:rPr>
            </w:pP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A30323">
              <w:rPr>
                <w:sz w:val="20"/>
                <w:szCs w:val="20"/>
                <w:lang w:eastAsia="en-GB"/>
              </w:rPr>
              <w:t>New requirements</w:t>
            </w:r>
          </w:p>
        </w:tc>
      </w:tr>
      <w:tr w:rsidR="00C70AB8" w:rsidRPr="00B93D2C" w:rsidTr="00C70AB8">
        <w:trPr>
          <w:trHeight w:val="139"/>
        </w:trPr>
        <w:tc>
          <w:tcPr>
            <w:tcW w:w="3261" w:type="dxa"/>
          </w:tcPr>
          <w:p w:rsidR="00C70AB8" w:rsidRDefault="00C70AB8" w:rsidP="00B40D9E">
            <w:pPr>
              <w:spacing w:after="0"/>
              <w:rPr>
                <w:sz w:val="20"/>
                <w:szCs w:val="20"/>
                <w:lang w:eastAsia="en-GB"/>
              </w:rPr>
            </w:pPr>
            <w:r>
              <w:rPr>
                <w:sz w:val="20"/>
                <w:szCs w:val="20"/>
                <w:lang w:eastAsia="en-GB"/>
              </w:rPr>
              <w:t>ICT - CAMS</w:t>
            </w:r>
          </w:p>
        </w:tc>
        <w:tc>
          <w:tcPr>
            <w:tcW w:w="992" w:type="dxa"/>
          </w:tcPr>
          <w:p w:rsidR="00C70AB8" w:rsidRDefault="00C70AB8" w:rsidP="00B40D9E">
            <w:pPr>
              <w:spacing w:after="0"/>
              <w:jc w:val="right"/>
              <w:rPr>
                <w:sz w:val="20"/>
                <w:szCs w:val="20"/>
                <w:lang w:eastAsia="en-GB"/>
              </w:rPr>
            </w:pPr>
            <w:r>
              <w:rPr>
                <w:sz w:val="20"/>
                <w:szCs w:val="20"/>
                <w:lang w:eastAsia="en-GB"/>
              </w:rPr>
              <w:t>(100)</w:t>
            </w:r>
          </w:p>
        </w:tc>
        <w:tc>
          <w:tcPr>
            <w:tcW w:w="1134" w:type="dxa"/>
          </w:tcPr>
          <w:p w:rsidR="00C70AB8" w:rsidRDefault="00C70AB8" w:rsidP="00B40D9E">
            <w:pPr>
              <w:spacing w:after="0"/>
              <w:jc w:val="right"/>
              <w:rPr>
                <w:sz w:val="20"/>
                <w:szCs w:val="20"/>
                <w:lang w:eastAsia="en-GB"/>
              </w:rPr>
            </w:pPr>
            <w:r>
              <w:rPr>
                <w:sz w:val="20"/>
                <w:szCs w:val="20"/>
                <w:lang w:eastAsia="en-GB"/>
              </w:rPr>
              <w:t>100</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Pr="00A30323" w:rsidRDefault="00C70AB8" w:rsidP="00B40D9E">
            <w:pPr>
              <w:spacing w:after="0"/>
              <w:rPr>
                <w:sz w:val="20"/>
                <w:szCs w:val="20"/>
                <w:lang w:eastAsia="en-GB"/>
              </w:rPr>
            </w:pPr>
            <w:r w:rsidRPr="00C221EA">
              <w:rPr>
                <w:sz w:val="20"/>
                <w:szCs w:val="20"/>
                <w:lang w:eastAsia="en-GB"/>
              </w:rPr>
              <w:t>Budget re-phasing</w:t>
            </w:r>
          </w:p>
        </w:tc>
      </w:tr>
      <w:tr w:rsidR="00C70AB8" w:rsidRPr="00B93D2C" w:rsidTr="00C70AB8">
        <w:trPr>
          <w:trHeight w:val="139"/>
        </w:trPr>
        <w:tc>
          <w:tcPr>
            <w:tcW w:w="3261" w:type="dxa"/>
          </w:tcPr>
          <w:p w:rsidR="00C70AB8" w:rsidRDefault="00C70AB8" w:rsidP="00B40D9E">
            <w:pPr>
              <w:spacing w:after="0"/>
              <w:rPr>
                <w:bCs/>
                <w:sz w:val="20"/>
                <w:szCs w:val="20"/>
                <w:lang w:eastAsia="en-GB"/>
              </w:rPr>
            </w:pPr>
            <w:r>
              <w:rPr>
                <w:sz w:val="20"/>
                <w:szCs w:val="20"/>
                <w:lang w:eastAsia="en-GB"/>
              </w:rPr>
              <w:t>ICT - Mobile Data Terminals</w:t>
            </w:r>
          </w:p>
        </w:tc>
        <w:tc>
          <w:tcPr>
            <w:tcW w:w="992" w:type="dxa"/>
          </w:tcPr>
          <w:p w:rsidR="00C70AB8" w:rsidRDefault="00C70AB8" w:rsidP="00B40D9E">
            <w:pPr>
              <w:spacing w:after="0"/>
              <w:jc w:val="right"/>
              <w:rPr>
                <w:sz w:val="20"/>
                <w:szCs w:val="20"/>
                <w:lang w:eastAsia="en-GB"/>
              </w:rPr>
            </w:pPr>
            <w:r>
              <w:rPr>
                <w:sz w:val="20"/>
                <w:szCs w:val="20"/>
                <w:lang w:eastAsia="en-GB"/>
              </w:rPr>
              <w:t>(71)</w:t>
            </w:r>
          </w:p>
        </w:tc>
        <w:tc>
          <w:tcPr>
            <w:tcW w:w="1134" w:type="dxa"/>
          </w:tcPr>
          <w:p w:rsidR="00C70AB8" w:rsidRDefault="00C70AB8" w:rsidP="00B40D9E">
            <w:pPr>
              <w:spacing w:after="0"/>
              <w:jc w:val="right"/>
              <w:rPr>
                <w:sz w:val="20"/>
                <w:szCs w:val="20"/>
                <w:lang w:eastAsia="en-GB"/>
              </w:rPr>
            </w:pPr>
            <w:r>
              <w:rPr>
                <w:sz w:val="20"/>
                <w:szCs w:val="20"/>
                <w:lang w:eastAsia="en-GB"/>
              </w:rPr>
              <w:t>71</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C221EA">
              <w:rPr>
                <w:sz w:val="20"/>
                <w:szCs w:val="20"/>
                <w:lang w:eastAsia="en-GB"/>
              </w:rPr>
              <w:t>Budget re-phasing</w:t>
            </w:r>
          </w:p>
        </w:tc>
      </w:tr>
      <w:tr w:rsidR="00C70AB8" w:rsidRPr="00B93D2C" w:rsidTr="00C70AB8">
        <w:trPr>
          <w:trHeight w:val="139"/>
        </w:trPr>
        <w:tc>
          <w:tcPr>
            <w:tcW w:w="3261" w:type="dxa"/>
          </w:tcPr>
          <w:p w:rsidR="00C70AB8" w:rsidRDefault="00C70AB8" w:rsidP="00B40D9E">
            <w:pPr>
              <w:spacing w:after="0"/>
              <w:rPr>
                <w:bCs/>
                <w:sz w:val="20"/>
                <w:szCs w:val="20"/>
                <w:lang w:eastAsia="en-GB"/>
              </w:rPr>
            </w:pPr>
            <w:r>
              <w:rPr>
                <w:sz w:val="20"/>
                <w:szCs w:val="20"/>
                <w:lang w:eastAsia="en-GB"/>
              </w:rPr>
              <w:t>ICT - Mobile Data Terminals</w:t>
            </w:r>
          </w:p>
        </w:tc>
        <w:tc>
          <w:tcPr>
            <w:tcW w:w="992" w:type="dxa"/>
          </w:tcPr>
          <w:p w:rsidR="00C70AB8" w:rsidRDefault="00C70AB8" w:rsidP="00B40D9E">
            <w:pPr>
              <w:spacing w:after="0"/>
              <w:jc w:val="right"/>
              <w:rPr>
                <w:sz w:val="20"/>
                <w:szCs w:val="20"/>
                <w:lang w:eastAsia="en-GB"/>
              </w:rPr>
            </w:pPr>
            <w:r>
              <w:rPr>
                <w:sz w:val="20"/>
                <w:szCs w:val="20"/>
                <w:lang w:eastAsia="en-GB"/>
              </w:rPr>
              <w:t>(160)</w:t>
            </w:r>
          </w:p>
        </w:tc>
        <w:tc>
          <w:tcPr>
            <w:tcW w:w="1134" w:type="dxa"/>
          </w:tcPr>
          <w:p w:rsidR="00C70AB8" w:rsidRDefault="00C70AB8" w:rsidP="00B40D9E">
            <w:pPr>
              <w:spacing w:after="0"/>
              <w:jc w:val="right"/>
              <w:rPr>
                <w:sz w:val="20"/>
                <w:szCs w:val="20"/>
                <w:lang w:eastAsia="en-GB"/>
              </w:rPr>
            </w:pP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Pr>
                <w:sz w:val="20"/>
                <w:szCs w:val="20"/>
                <w:lang w:eastAsia="en-GB"/>
              </w:rPr>
              <w:t>Budget saving</w:t>
            </w:r>
          </w:p>
        </w:tc>
      </w:tr>
      <w:tr w:rsidR="00C70AB8" w:rsidRPr="00B93D2C" w:rsidTr="00C70AB8">
        <w:trPr>
          <w:trHeight w:val="139"/>
        </w:trPr>
        <w:tc>
          <w:tcPr>
            <w:tcW w:w="3261" w:type="dxa"/>
          </w:tcPr>
          <w:p w:rsidR="00C70AB8" w:rsidRDefault="00C70AB8" w:rsidP="00B40D9E">
            <w:pPr>
              <w:spacing w:after="0"/>
              <w:rPr>
                <w:sz w:val="20"/>
                <w:szCs w:val="20"/>
                <w:lang w:eastAsia="en-GB"/>
              </w:rPr>
            </w:pPr>
            <w:r>
              <w:rPr>
                <w:sz w:val="20"/>
                <w:szCs w:val="20"/>
                <w:lang w:eastAsia="en-GB"/>
              </w:rPr>
              <w:t xml:space="preserve">ICT - Wireless LAN Controllers </w:t>
            </w:r>
          </w:p>
        </w:tc>
        <w:tc>
          <w:tcPr>
            <w:tcW w:w="992" w:type="dxa"/>
          </w:tcPr>
          <w:p w:rsidR="00C70AB8" w:rsidRDefault="00C70AB8" w:rsidP="00B40D9E">
            <w:pPr>
              <w:spacing w:after="0"/>
              <w:jc w:val="right"/>
              <w:rPr>
                <w:sz w:val="20"/>
                <w:szCs w:val="20"/>
                <w:lang w:eastAsia="en-GB"/>
              </w:rPr>
            </w:pPr>
            <w:r>
              <w:rPr>
                <w:sz w:val="20"/>
                <w:szCs w:val="20"/>
                <w:lang w:eastAsia="en-GB"/>
              </w:rPr>
              <w:t>(78)</w:t>
            </w:r>
          </w:p>
        </w:tc>
        <w:tc>
          <w:tcPr>
            <w:tcW w:w="1134" w:type="dxa"/>
          </w:tcPr>
          <w:p w:rsidR="00C70AB8" w:rsidRDefault="00C70AB8" w:rsidP="00B40D9E">
            <w:pPr>
              <w:spacing w:after="0"/>
              <w:jc w:val="right"/>
              <w:rPr>
                <w:sz w:val="20"/>
                <w:szCs w:val="20"/>
                <w:lang w:eastAsia="en-GB"/>
              </w:rPr>
            </w:pP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477145">
              <w:rPr>
                <w:sz w:val="20"/>
                <w:szCs w:val="20"/>
                <w:lang w:eastAsia="en-GB"/>
              </w:rPr>
              <w:t>Budget saving</w:t>
            </w:r>
          </w:p>
        </w:tc>
      </w:tr>
      <w:tr w:rsidR="00C70AB8" w:rsidRPr="00B93D2C" w:rsidTr="00C70AB8">
        <w:trPr>
          <w:trHeight w:val="139"/>
        </w:trPr>
        <w:tc>
          <w:tcPr>
            <w:tcW w:w="3261" w:type="dxa"/>
          </w:tcPr>
          <w:p w:rsidR="00C70AB8" w:rsidRDefault="00C70AB8" w:rsidP="00B40D9E">
            <w:pPr>
              <w:spacing w:after="0"/>
              <w:rPr>
                <w:sz w:val="20"/>
                <w:szCs w:val="20"/>
                <w:lang w:eastAsia="en-GB"/>
              </w:rPr>
            </w:pPr>
            <w:r>
              <w:rPr>
                <w:bCs/>
                <w:sz w:val="20"/>
                <w:szCs w:val="20"/>
                <w:lang w:eastAsia="en-GB"/>
              </w:rPr>
              <w:t xml:space="preserve">ICT - </w:t>
            </w:r>
            <w:r w:rsidRPr="006C6302">
              <w:rPr>
                <w:bCs/>
                <w:sz w:val="20"/>
                <w:szCs w:val="20"/>
                <w:lang w:eastAsia="en-GB"/>
              </w:rPr>
              <w:t>Physical Server Environment</w:t>
            </w: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r>
              <w:rPr>
                <w:sz w:val="20"/>
                <w:szCs w:val="20"/>
                <w:lang w:eastAsia="en-GB"/>
              </w:rPr>
              <w:t>(200)</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sidRPr="00477145">
              <w:rPr>
                <w:sz w:val="20"/>
                <w:szCs w:val="20"/>
                <w:lang w:eastAsia="en-GB"/>
              </w:rPr>
              <w:t>Budget saving</w:t>
            </w:r>
          </w:p>
        </w:tc>
      </w:tr>
      <w:tr w:rsidR="00C70AB8" w:rsidRPr="00B93D2C" w:rsidTr="00C70AB8">
        <w:trPr>
          <w:trHeight w:val="139"/>
        </w:trPr>
        <w:tc>
          <w:tcPr>
            <w:tcW w:w="3261" w:type="dxa"/>
          </w:tcPr>
          <w:p w:rsidR="00C70AB8" w:rsidRDefault="00C70AB8" w:rsidP="00B40D9E">
            <w:pPr>
              <w:spacing w:after="0"/>
              <w:rPr>
                <w:sz w:val="20"/>
                <w:szCs w:val="20"/>
                <w:lang w:eastAsia="en-GB"/>
              </w:rPr>
            </w:pPr>
            <w:r>
              <w:rPr>
                <w:bCs/>
                <w:sz w:val="20"/>
                <w:szCs w:val="20"/>
                <w:lang w:eastAsia="en-GB"/>
              </w:rPr>
              <w:t>ICT Over-programming adjustment</w:t>
            </w:r>
          </w:p>
        </w:tc>
        <w:tc>
          <w:tcPr>
            <w:tcW w:w="992" w:type="dxa"/>
          </w:tcPr>
          <w:p w:rsidR="00C70AB8" w:rsidRDefault="00C70AB8" w:rsidP="00B40D9E">
            <w:pPr>
              <w:spacing w:after="0"/>
              <w:jc w:val="right"/>
              <w:rPr>
                <w:sz w:val="20"/>
                <w:szCs w:val="20"/>
                <w:lang w:eastAsia="en-GB"/>
              </w:rPr>
            </w:pPr>
            <w:r>
              <w:rPr>
                <w:sz w:val="20"/>
                <w:szCs w:val="20"/>
                <w:lang w:eastAsia="en-GB"/>
              </w:rPr>
              <w:t>78</w:t>
            </w:r>
          </w:p>
        </w:tc>
        <w:tc>
          <w:tcPr>
            <w:tcW w:w="1134" w:type="dxa"/>
          </w:tcPr>
          <w:p w:rsidR="00C70AB8" w:rsidRDefault="00C70AB8" w:rsidP="00B40D9E">
            <w:pPr>
              <w:spacing w:after="0"/>
              <w:jc w:val="right"/>
              <w:rPr>
                <w:sz w:val="20"/>
                <w:szCs w:val="20"/>
                <w:lang w:eastAsia="en-GB"/>
              </w:rPr>
            </w:pPr>
            <w:r>
              <w:rPr>
                <w:sz w:val="20"/>
                <w:szCs w:val="20"/>
                <w:lang w:eastAsia="en-GB"/>
              </w:rPr>
              <w:t>200</w:t>
            </w:r>
          </w:p>
        </w:tc>
        <w:tc>
          <w:tcPr>
            <w:tcW w:w="993" w:type="dxa"/>
          </w:tcPr>
          <w:p w:rsidR="00C70AB8" w:rsidRDefault="00C70AB8" w:rsidP="00B40D9E">
            <w:pPr>
              <w:spacing w:after="0"/>
              <w:jc w:val="right"/>
              <w:rPr>
                <w:sz w:val="20"/>
                <w:szCs w:val="20"/>
                <w:lang w:eastAsia="en-GB"/>
              </w:rPr>
            </w:pPr>
          </w:p>
        </w:tc>
        <w:tc>
          <w:tcPr>
            <w:tcW w:w="992" w:type="dxa"/>
          </w:tcPr>
          <w:p w:rsidR="00C70AB8" w:rsidRDefault="00C70AB8" w:rsidP="00B40D9E">
            <w:pPr>
              <w:spacing w:after="0"/>
              <w:jc w:val="right"/>
              <w:rPr>
                <w:sz w:val="20"/>
                <w:szCs w:val="20"/>
                <w:lang w:eastAsia="en-GB"/>
              </w:rPr>
            </w:pPr>
          </w:p>
        </w:tc>
        <w:tc>
          <w:tcPr>
            <w:tcW w:w="1134" w:type="dxa"/>
          </w:tcPr>
          <w:p w:rsidR="00C70AB8" w:rsidRDefault="00C70AB8" w:rsidP="00B40D9E">
            <w:pPr>
              <w:spacing w:after="0"/>
              <w:jc w:val="right"/>
              <w:rPr>
                <w:sz w:val="20"/>
                <w:szCs w:val="20"/>
                <w:lang w:eastAsia="en-GB"/>
              </w:rPr>
            </w:pPr>
          </w:p>
        </w:tc>
        <w:tc>
          <w:tcPr>
            <w:tcW w:w="2551" w:type="dxa"/>
          </w:tcPr>
          <w:p w:rsidR="00C70AB8" w:rsidRDefault="00C70AB8" w:rsidP="00B40D9E">
            <w:pPr>
              <w:spacing w:after="0"/>
              <w:rPr>
                <w:sz w:val="20"/>
                <w:szCs w:val="20"/>
                <w:lang w:eastAsia="en-GB"/>
              </w:rPr>
            </w:pPr>
            <w:r>
              <w:rPr>
                <w:sz w:val="20"/>
                <w:szCs w:val="20"/>
                <w:lang w:eastAsia="en-GB"/>
              </w:rPr>
              <w:t>Re LAN &amp; Physical Servers</w:t>
            </w:r>
          </w:p>
        </w:tc>
      </w:tr>
      <w:tr w:rsidR="00C70AB8" w:rsidRPr="00B93D2C" w:rsidTr="00C70AB8">
        <w:trPr>
          <w:trHeight w:val="165"/>
        </w:trPr>
        <w:tc>
          <w:tcPr>
            <w:tcW w:w="3261" w:type="dxa"/>
          </w:tcPr>
          <w:p w:rsidR="00C70AB8" w:rsidRPr="00A30323" w:rsidRDefault="00C70AB8" w:rsidP="00B40D9E">
            <w:pPr>
              <w:spacing w:after="0"/>
              <w:rPr>
                <w:sz w:val="20"/>
                <w:szCs w:val="20"/>
                <w:lang w:eastAsia="en-GB"/>
              </w:rPr>
            </w:pPr>
            <w:r w:rsidRPr="00A30323">
              <w:rPr>
                <w:sz w:val="20"/>
                <w:szCs w:val="20"/>
                <w:lang w:eastAsia="en-GB"/>
              </w:rPr>
              <w:t>Replacement Programme Equip</w:t>
            </w:r>
          </w:p>
        </w:tc>
        <w:tc>
          <w:tcPr>
            <w:tcW w:w="992" w:type="dxa"/>
          </w:tcPr>
          <w:p w:rsidR="00C70AB8" w:rsidRPr="00A30323" w:rsidRDefault="00C70AB8" w:rsidP="00B40D9E">
            <w:pPr>
              <w:spacing w:after="0"/>
              <w:jc w:val="right"/>
              <w:rPr>
                <w:sz w:val="20"/>
                <w:szCs w:val="20"/>
                <w:lang w:eastAsia="en-GB"/>
              </w:rPr>
            </w:pPr>
            <w:r>
              <w:rPr>
                <w:sz w:val="20"/>
                <w:szCs w:val="20"/>
                <w:lang w:eastAsia="en-GB"/>
              </w:rPr>
              <w:t>74</w:t>
            </w:r>
          </w:p>
        </w:tc>
        <w:tc>
          <w:tcPr>
            <w:tcW w:w="1134" w:type="dxa"/>
          </w:tcPr>
          <w:p w:rsidR="00C70AB8" w:rsidRPr="00A30323" w:rsidRDefault="00C70AB8" w:rsidP="00B40D9E">
            <w:pPr>
              <w:spacing w:after="0"/>
              <w:jc w:val="right"/>
              <w:rPr>
                <w:sz w:val="20"/>
                <w:szCs w:val="20"/>
                <w:lang w:eastAsia="en-GB"/>
              </w:rPr>
            </w:pPr>
            <w:r w:rsidRPr="00A30323">
              <w:rPr>
                <w:sz w:val="20"/>
                <w:szCs w:val="20"/>
                <w:lang w:eastAsia="en-GB"/>
              </w:rPr>
              <w:t>1,139</w:t>
            </w:r>
          </w:p>
        </w:tc>
        <w:tc>
          <w:tcPr>
            <w:tcW w:w="993" w:type="dxa"/>
          </w:tcPr>
          <w:p w:rsidR="00C70AB8" w:rsidRPr="00A30323" w:rsidRDefault="00C70AB8" w:rsidP="00B40D9E">
            <w:pPr>
              <w:spacing w:after="0"/>
              <w:jc w:val="right"/>
              <w:rPr>
                <w:sz w:val="20"/>
                <w:szCs w:val="20"/>
                <w:lang w:eastAsia="en-GB"/>
              </w:rPr>
            </w:pPr>
          </w:p>
        </w:tc>
        <w:tc>
          <w:tcPr>
            <w:tcW w:w="992" w:type="dxa"/>
          </w:tcPr>
          <w:p w:rsidR="00C70AB8" w:rsidRPr="00A30323" w:rsidRDefault="00C70AB8" w:rsidP="00B40D9E">
            <w:pPr>
              <w:spacing w:after="0"/>
              <w:jc w:val="right"/>
              <w:rPr>
                <w:sz w:val="20"/>
                <w:szCs w:val="20"/>
                <w:lang w:eastAsia="en-GB"/>
              </w:rPr>
            </w:pPr>
          </w:p>
        </w:tc>
        <w:tc>
          <w:tcPr>
            <w:tcW w:w="1134" w:type="dxa"/>
          </w:tcPr>
          <w:p w:rsidR="00C70AB8" w:rsidRPr="00A30323" w:rsidRDefault="00C70AB8" w:rsidP="00B40D9E">
            <w:pPr>
              <w:spacing w:after="0"/>
              <w:jc w:val="right"/>
              <w:rPr>
                <w:sz w:val="20"/>
                <w:szCs w:val="20"/>
                <w:lang w:eastAsia="en-GB"/>
              </w:rPr>
            </w:pPr>
          </w:p>
        </w:tc>
        <w:tc>
          <w:tcPr>
            <w:tcW w:w="2551" w:type="dxa"/>
          </w:tcPr>
          <w:p w:rsidR="00C70AB8" w:rsidRPr="00A30323" w:rsidRDefault="00C70AB8" w:rsidP="00B40D9E">
            <w:pPr>
              <w:spacing w:after="0"/>
              <w:rPr>
                <w:sz w:val="20"/>
                <w:szCs w:val="20"/>
                <w:lang w:eastAsia="en-GB"/>
              </w:rPr>
            </w:pPr>
            <w:r w:rsidRPr="00A30323">
              <w:rPr>
                <w:sz w:val="20"/>
                <w:szCs w:val="20"/>
                <w:lang w:eastAsia="en-GB"/>
              </w:rPr>
              <w:t>New requirements</w:t>
            </w:r>
          </w:p>
        </w:tc>
      </w:tr>
      <w:tr w:rsidR="00C70AB8" w:rsidRPr="00B93D2C" w:rsidTr="00C70AB8">
        <w:trPr>
          <w:trHeight w:val="139"/>
        </w:trPr>
        <w:tc>
          <w:tcPr>
            <w:tcW w:w="3261" w:type="dxa"/>
          </w:tcPr>
          <w:p w:rsidR="00C70AB8" w:rsidRPr="00A30323" w:rsidRDefault="00C70AB8" w:rsidP="00B40D9E">
            <w:pPr>
              <w:spacing w:after="0"/>
              <w:rPr>
                <w:sz w:val="20"/>
                <w:szCs w:val="20"/>
                <w:lang w:eastAsia="en-GB"/>
              </w:rPr>
            </w:pPr>
            <w:r w:rsidRPr="00A30323">
              <w:rPr>
                <w:sz w:val="20"/>
                <w:szCs w:val="20"/>
                <w:lang w:eastAsia="en-GB"/>
              </w:rPr>
              <w:t>Replacement Programme Fleet</w:t>
            </w:r>
          </w:p>
        </w:tc>
        <w:tc>
          <w:tcPr>
            <w:tcW w:w="992" w:type="dxa"/>
          </w:tcPr>
          <w:p w:rsidR="00C70AB8" w:rsidRPr="00A30323" w:rsidRDefault="00C70AB8" w:rsidP="00B40D9E">
            <w:pPr>
              <w:spacing w:after="0"/>
              <w:jc w:val="right"/>
              <w:rPr>
                <w:sz w:val="20"/>
                <w:szCs w:val="20"/>
                <w:lang w:eastAsia="en-GB"/>
              </w:rPr>
            </w:pPr>
          </w:p>
        </w:tc>
        <w:tc>
          <w:tcPr>
            <w:tcW w:w="1134" w:type="dxa"/>
          </w:tcPr>
          <w:p w:rsidR="00C70AB8" w:rsidRPr="00A30323" w:rsidRDefault="00C70AB8" w:rsidP="00B40D9E">
            <w:pPr>
              <w:spacing w:after="0"/>
              <w:jc w:val="right"/>
              <w:rPr>
                <w:sz w:val="20"/>
                <w:szCs w:val="20"/>
                <w:lang w:eastAsia="en-GB"/>
              </w:rPr>
            </w:pPr>
          </w:p>
        </w:tc>
        <w:tc>
          <w:tcPr>
            <w:tcW w:w="993" w:type="dxa"/>
          </w:tcPr>
          <w:p w:rsidR="00C70AB8" w:rsidRPr="00A30323" w:rsidRDefault="00C70AB8" w:rsidP="00B40D9E">
            <w:pPr>
              <w:spacing w:after="0"/>
              <w:jc w:val="right"/>
              <w:rPr>
                <w:sz w:val="20"/>
                <w:szCs w:val="20"/>
                <w:lang w:eastAsia="en-GB"/>
              </w:rPr>
            </w:pPr>
          </w:p>
        </w:tc>
        <w:tc>
          <w:tcPr>
            <w:tcW w:w="992" w:type="dxa"/>
          </w:tcPr>
          <w:p w:rsidR="00C70AB8" w:rsidRPr="00A30323" w:rsidRDefault="00C70AB8" w:rsidP="00B40D9E">
            <w:pPr>
              <w:spacing w:after="0"/>
              <w:jc w:val="right"/>
              <w:rPr>
                <w:sz w:val="20"/>
                <w:szCs w:val="20"/>
                <w:lang w:eastAsia="en-GB"/>
              </w:rPr>
            </w:pPr>
            <w:r w:rsidRPr="00A30323">
              <w:rPr>
                <w:sz w:val="20"/>
                <w:szCs w:val="20"/>
                <w:lang w:eastAsia="en-GB"/>
              </w:rPr>
              <w:t>(1,680)</w:t>
            </w:r>
          </w:p>
        </w:tc>
        <w:tc>
          <w:tcPr>
            <w:tcW w:w="1134" w:type="dxa"/>
          </w:tcPr>
          <w:p w:rsidR="00C70AB8" w:rsidRPr="00A30323" w:rsidRDefault="00C70AB8" w:rsidP="00B40D9E">
            <w:pPr>
              <w:spacing w:after="0"/>
              <w:jc w:val="right"/>
              <w:rPr>
                <w:sz w:val="20"/>
                <w:szCs w:val="20"/>
                <w:lang w:eastAsia="en-GB"/>
              </w:rPr>
            </w:pPr>
            <w:r w:rsidRPr="00A30323">
              <w:rPr>
                <w:sz w:val="20"/>
                <w:szCs w:val="20"/>
                <w:lang w:eastAsia="en-GB"/>
              </w:rPr>
              <w:t>1,680</w:t>
            </w:r>
          </w:p>
        </w:tc>
        <w:tc>
          <w:tcPr>
            <w:tcW w:w="2551" w:type="dxa"/>
          </w:tcPr>
          <w:p w:rsidR="00C70AB8" w:rsidRPr="00A30323" w:rsidRDefault="00C70AB8" w:rsidP="00B40D9E">
            <w:pPr>
              <w:spacing w:after="0"/>
              <w:rPr>
                <w:sz w:val="20"/>
                <w:szCs w:val="20"/>
                <w:lang w:eastAsia="en-GB"/>
              </w:rPr>
            </w:pPr>
            <w:r w:rsidRPr="00A30323">
              <w:rPr>
                <w:sz w:val="20"/>
                <w:szCs w:val="20"/>
                <w:lang w:eastAsia="en-GB"/>
              </w:rPr>
              <w:t>Budget re-phasing</w:t>
            </w:r>
          </w:p>
        </w:tc>
      </w:tr>
      <w:tr w:rsidR="00C70AB8" w:rsidRPr="00B93D2C" w:rsidTr="00C70AB8">
        <w:trPr>
          <w:trHeight w:val="139"/>
        </w:trPr>
        <w:tc>
          <w:tcPr>
            <w:tcW w:w="3261" w:type="dxa"/>
          </w:tcPr>
          <w:p w:rsidR="00C70AB8" w:rsidRPr="00A30323" w:rsidRDefault="00C70AB8" w:rsidP="00B40D9E">
            <w:pPr>
              <w:spacing w:after="0"/>
              <w:rPr>
                <w:sz w:val="20"/>
                <w:szCs w:val="20"/>
                <w:lang w:eastAsia="en-GB"/>
              </w:rPr>
            </w:pPr>
            <w:r w:rsidRPr="00A30323">
              <w:rPr>
                <w:sz w:val="20"/>
                <w:szCs w:val="20"/>
                <w:lang w:eastAsia="en-GB"/>
              </w:rPr>
              <w:t>Fleet - Pumping Appliances</w:t>
            </w:r>
          </w:p>
        </w:tc>
        <w:tc>
          <w:tcPr>
            <w:tcW w:w="992" w:type="dxa"/>
          </w:tcPr>
          <w:p w:rsidR="00C70AB8" w:rsidRPr="00A30323" w:rsidRDefault="00C70AB8" w:rsidP="00B40D9E">
            <w:pPr>
              <w:spacing w:after="0"/>
              <w:jc w:val="right"/>
              <w:rPr>
                <w:sz w:val="20"/>
                <w:szCs w:val="20"/>
                <w:lang w:eastAsia="en-GB"/>
              </w:rPr>
            </w:pPr>
            <w:r w:rsidRPr="00A30323">
              <w:rPr>
                <w:sz w:val="20"/>
                <w:szCs w:val="20"/>
                <w:lang w:eastAsia="en-GB"/>
              </w:rPr>
              <w:t>3,522</w:t>
            </w:r>
          </w:p>
        </w:tc>
        <w:tc>
          <w:tcPr>
            <w:tcW w:w="1134" w:type="dxa"/>
          </w:tcPr>
          <w:p w:rsidR="00C70AB8" w:rsidRPr="00A30323" w:rsidRDefault="00C70AB8" w:rsidP="00B40D9E">
            <w:pPr>
              <w:spacing w:after="0"/>
              <w:jc w:val="right"/>
              <w:rPr>
                <w:sz w:val="20"/>
                <w:szCs w:val="20"/>
                <w:lang w:eastAsia="en-GB"/>
              </w:rPr>
            </w:pPr>
            <w:r w:rsidRPr="00A30323">
              <w:rPr>
                <w:sz w:val="20"/>
                <w:szCs w:val="20"/>
                <w:lang w:eastAsia="en-GB"/>
              </w:rPr>
              <w:t>(4,987)</w:t>
            </w:r>
          </w:p>
        </w:tc>
        <w:tc>
          <w:tcPr>
            <w:tcW w:w="993" w:type="dxa"/>
          </w:tcPr>
          <w:p w:rsidR="00C70AB8" w:rsidRPr="00A30323" w:rsidRDefault="00C70AB8" w:rsidP="00B40D9E">
            <w:pPr>
              <w:spacing w:after="0"/>
              <w:jc w:val="right"/>
              <w:rPr>
                <w:sz w:val="20"/>
                <w:szCs w:val="20"/>
                <w:lang w:eastAsia="en-GB"/>
              </w:rPr>
            </w:pPr>
            <w:r w:rsidRPr="00A30323">
              <w:rPr>
                <w:sz w:val="20"/>
                <w:szCs w:val="20"/>
                <w:lang w:eastAsia="en-GB"/>
              </w:rPr>
              <w:t>1,465</w:t>
            </w:r>
          </w:p>
        </w:tc>
        <w:tc>
          <w:tcPr>
            <w:tcW w:w="992" w:type="dxa"/>
          </w:tcPr>
          <w:p w:rsidR="00C70AB8" w:rsidRPr="00A30323" w:rsidRDefault="00C70AB8" w:rsidP="00B40D9E">
            <w:pPr>
              <w:spacing w:after="0"/>
              <w:jc w:val="right"/>
              <w:rPr>
                <w:sz w:val="20"/>
                <w:szCs w:val="20"/>
                <w:lang w:eastAsia="en-GB"/>
              </w:rPr>
            </w:pPr>
          </w:p>
        </w:tc>
        <w:tc>
          <w:tcPr>
            <w:tcW w:w="1134" w:type="dxa"/>
          </w:tcPr>
          <w:p w:rsidR="00C70AB8" w:rsidRPr="00A30323" w:rsidRDefault="00C70AB8" w:rsidP="00B40D9E">
            <w:pPr>
              <w:spacing w:after="0"/>
              <w:jc w:val="right"/>
              <w:rPr>
                <w:sz w:val="20"/>
                <w:szCs w:val="20"/>
                <w:lang w:eastAsia="en-GB"/>
              </w:rPr>
            </w:pPr>
          </w:p>
        </w:tc>
        <w:tc>
          <w:tcPr>
            <w:tcW w:w="2551" w:type="dxa"/>
          </w:tcPr>
          <w:p w:rsidR="00C70AB8" w:rsidRPr="00A30323" w:rsidRDefault="00C70AB8" w:rsidP="00B40D9E">
            <w:pPr>
              <w:spacing w:after="0"/>
              <w:rPr>
                <w:sz w:val="20"/>
                <w:szCs w:val="20"/>
                <w:lang w:eastAsia="en-GB"/>
              </w:rPr>
            </w:pPr>
            <w:r w:rsidRPr="00A30323">
              <w:rPr>
                <w:sz w:val="20"/>
                <w:szCs w:val="20"/>
                <w:lang w:eastAsia="en-GB"/>
              </w:rPr>
              <w:t>Budget re-phasing</w:t>
            </w:r>
          </w:p>
        </w:tc>
      </w:tr>
      <w:tr w:rsidR="00C70AB8" w:rsidRPr="00B93D2C" w:rsidTr="00C70AB8">
        <w:trPr>
          <w:trHeight w:val="70"/>
        </w:trPr>
        <w:tc>
          <w:tcPr>
            <w:tcW w:w="3261" w:type="dxa"/>
          </w:tcPr>
          <w:p w:rsidR="00C70AB8" w:rsidRPr="00A30323" w:rsidRDefault="00C70AB8" w:rsidP="00B40D9E">
            <w:pPr>
              <w:spacing w:after="0"/>
              <w:rPr>
                <w:sz w:val="20"/>
                <w:szCs w:val="20"/>
                <w:lang w:eastAsia="en-GB"/>
              </w:rPr>
            </w:pPr>
            <w:r w:rsidRPr="00A30323">
              <w:rPr>
                <w:sz w:val="20"/>
                <w:szCs w:val="20"/>
                <w:lang w:eastAsia="en-GB"/>
              </w:rPr>
              <w:t xml:space="preserve">Fleet – Light Vehicles Replacement </w:t>
            </w:r>
          </w:p>
        </w:tc>
        <w:tc>
          <w:tcPr>
            <w:tcW w:w="992" w:type="dxa"/>
          </w:tcPr>
          <w:p w:rsidR="00C70AB8" w:rsidRPr="00A30323" w:rsidRDefault="00C70AB8" w:rsidP="00B40D9E">
            <w:pPr>
              <w:spacing w:after="0"/>
              <w:jc w:val="right"/>
              <w:rPr>
                <w:sz w:val="20"/>
                <w:szCs w:val="20"/>
                <w:lang w:eastAsia="en-GB"/>
              </w:rPr>
            </w:pPr>
            <w:r w:rsidRPr="00A30323">
              <w:rPr>
                <w:sz w:val="20"/>
                <w:szCs w:val="20"/>
                <w:lang w:eastAsia="en-GB"/>
              </w:rPr>
              <w:t>(547)</w:t>
            </w:r>
          </w:p>
        </w:tc>
        <w:tc>
          <w:tcPr>
            <w:tcW w:w="1134" w:type="dxa"/>
          </w:tcPr>
          <w:p w:rsidR="00C70AB8" w:rsidRPr="00A30323" w:rsidRDefault="00C70AB8" w:rsidP="00B40D9E">
            <w:pPr>
              <w:spacing w:after="0"/>
              <w:jc w:val="right"/>
              <w:rPr>
                <w:sz w:val="20"/>
                <w:szCs w:val="20"/>
                <w:lang w:eastAsia="en-GB"/>
              </w:rPr>
            </w:pPr>
            <w:r w:rsidRPr="00A30323">
              <w:rPr>
                <w:sz w:val="20"/>
                <w:szCs w:val="20"/>
                <w:lang w:eastAsia="en-GB"/>
              </w:rPr>
              <w:t>547</w:t>
            </w:r>
          </w:p>
        </w:tc>
        <w:tc>
          <w:tcPr>
            <w:tcW w:w="993" w:type="dxa"/>
          </w:tcPr>
          <w:p w:rsidR="00C70AB8" w:rsidRPr="00A30323" w:rsidRDefault="00C70AB8" w:rsidP="00B40D9E">
            <w:pPr>
              <w:spacing w:after="0"/>
              <w:jc w:val="right"/>
              <w:rPr>
                <w:sz w:val="20"/>
                <w:szCs w:val="20"/>
                <w:lang w:eastAsia="en-GB"/>
              </w:rPr>
            </w:pPr>
          </w:p>
        </w:tc>
        <w:tc>
          <w:tcPr>
            <w:tcW w:w="992" w:type="dxa"/>
          </w:tcPr>
          <w:p w:rsidR="00C70AB8" w:rsidRPr="00A30323" w:rsidRDefault="00C70AB8" w:rsidP="00B40D9E">
            <w:pPr>
              <w:spacing w:after="0"/>
              <w:jc w:val="right"/>
              <w:rPr>
                <w:sz w:val="20"/>
                <w:szCs w:val="20"/>
                <w:lang w:eastAsia="en-GB"/>
              </w:rPr>
            </w:pPr>
          </w:p>
        </w:tc>
        <w:tc>
          <w:tcPr>
            <w:tcW w:w="1134" w:type="dxa"/>
          </w:tcPr>
          <w:p w:rsidR="00C70AB8" w:rsidRPr="00A30323" w:rsidRDefault="00C70AB8" w:rsidP="00B40D9E">
            <w:pPr>
              <w:spacing w:after="0"/>
              <w:jc w:val="right"/>
              <w:rPr>
                <w:sz w:val="20"/>
                <w:szCs w:val="20"/>
                <w:lang w:eastAsia="en-GB"/>
              </w:rPr>
            </w:pPr>
          </w:p>
        </w:tc>
        <w:tc>
          <w:tcPr>
            <w:tcW w:w="2551" w:type="dxa"/>
          </w:tcPr>
          <w:p w:rsidR="00C70AB8" w:rsidRPr="00A30323" w:rsidRDefault="00C70AB8" w:rsidP="00B40D9E">
            <w:pPr>
              <w:spacing w:after="0"/>
              <w:rPr>
                <w:sz w:val="20"/>
                <w:szCs w:val="20"/>
                <w:lang w:eastAsia="en-GB"/>
              </w:rPr>
            </w:pPr>
            <w:r w:rsidRPr="00A30323">
              <w:rPr>
                <w:sz w:val="20"/>
                <w:szCs w:val="20"/>
                <w:lang w:eastAsia="en-GB"/>
              </w:rPr>
              <w:t>Budget re-phasing</w:t>
            </w:r>
          </w:p>
        </w:tc>
      </w:tr>
      <w:tr w:rsidR="00C70AB8" w:rsidRPr="00B93D2C" w:rsidTr="00C70AB8">
        <w:trPr>
          <w:trHeight w:val="70"/>
        </w:trPr>
        <w:tc>
          <w:tcPr>
            <w:tcW w:w="3261" w:type="dxa"/>
          </w:tcPr>
          <w:p w:rsidR="00C70AB8" w:rsidRPr="00A30323" w:rsidRDefault="00C70AB8" w:rsidP="00B40D9E">
            <w:pPr>
              <w:spacing w:after="0"/>
              <w:rPr>
                <w:sz w:val="20"/>
                <w:szCs w:val="20"/>
                <w:lang w:eastAsia="en-GB"/>
              </w:rPr>
            </w:pPr>
            <w:r w:rsidRPr="00A30323">
              <w:rPr>
                <w:sz w:val="20"/>
                <w:szCs w:val="20"/>
                <w:lang w:eastAsia="en-GB"/>
              </w:rPr>
              <w:t>Fleet – Aerial Appliances</w:t>
            </w:r>
          </w:p>
        </w:tc>
        <w:tc>
          <w:tcPr>
            <w:tcW w:w="992" w:type="dxa"/>
          </w:tcPr>
          <w:p w:rsidR="00C70AB8" w:rsidRPr="00A30323" w:rsidRDefault="00C70AB8" w:rsidP="00B40D9E">
            <w:pPr>
              <w:spacing w:after="0"/>
              <w:jc w:val="right"/>
              <w:rPr>
                <w:sz w:val="20"/>
                <w:szCs w:val="20"/>
                <w:lang w:eastAsia="en-GB"/>
              </w:rPr>
            </w:pPr>
          </w:p>
        </w:tc>
        <w:tc>
          <w:tcPr>
            <w:tcW w:w="1134" w:type="dxa"/>
          </w:tcPr>
          <w:p w:rsidR="00C70AB8" w:rsidRPr="00A30323" w:rsidRDefault="00C70AB8" w:rsidP="00B40D9E">
            <w:pPr>
              <w:spacing w:after="0"/>
              <w:jc w:val="right"/>
              <w:rPr>
                <w:sz w:val="20"/>
                <w:szCs w:val="20"/>
                <w:lang w:eastAsia="en-GB"/>
              </w:rPr>
            </w:pPr>
          </w:p>
        </w:tc>
        <w:tc>
          <w:tcPr>
            <w:tcW w:w="993" w:type="dxa"/>
          </w:tcPr>
          <w:p w:rsidR="00C70AB8" w:rsidRPr="00A30323" w:rsidRDefault="00C70AB8" w:rsidP="00B40D9E">
            <w:pPr>
              <w:spacing w:after="0"/>
              <w:jc w:val="right"/>
              <w:rPr>
                <w:sz w:val="20"/>
                <w:szCs w:val="20"/>
                <w:lang w:eastAsia="en-GB"/>
              </w:rPr>
            </w:pPr>
            <w:r>
              <w:rPr>
                <w:sz w:val="20"/>
                <w:szCs w:val="20"/>
                <w:lang w:eastAsia="en-GB"/>
              </w:rPr>
              <w:t>4</w:t>
            </w:r>
            <w:r w:rsidRPr="00A30323">
              <w:rPr>
                <w:sz w:val="20"/>
                <w:szCs w:val="20"/>
                <w:lang w:eastAsia="en-GB"/>
              </w:rPr>
              <w:t>,</w:t>
            </w:r>
            <w:r>
              <w:rPr>
                <w:sz w:val="20"/>
                <w:szCs w:val="20"/>
                <w:lang w:eastAsia="en-GB"/>
              </w:rPr>
              <w:t>450</w:t>
            </w:r>
          </w:p>
        </w:tc>
        <w:tc>
          <w:tcPr>
            <w:tcW w:w="992" w:type="dxa"/>
          </w:tcPr>
          <w:p w:rsidR="00C70AB8" w:rsidRPr="00A30323" w:rsidRDefault="00C70AB8" w:rsidP="00B40D9E">
            <w:pPr>
              <w:spacing w:after="0"/>
              <w:jc w:val="right"/>
              <w:rPr>
                <w:sz w:val="20"/>
                <w:szCs w:val="20"/>
                <w:lang w:eastAsia="en-GB"/>
              </w:rPr>
            </w:pPr>
          </w:p>
        </w:tc>
        <w:tc>
          <w:tcPr>
            <w:tcW w:w="1134" w:type="dxa"/>
          </w:tcPr>
          <w:p w:rsidR="00C70AB8" w:rsidRPr="00A30323" w:rsidRDefault="00C70AB8" w:rsidP="00B40D9E">
            <w:pPr>
              <w:spacing w:after="0"/>
              <w:jc w:val="right"/>
              <w:rPr>
                <w:sz w:val="20"/>
                <w:szCs w:val="20"/>
                <w:lang w:eastAsia="en-GB"/>
              </w:rPr>
            </w:pPr>
          </w:p>
        </w:tc>
        <w:tc>
          <w:tcPr>
            <w:tcW w:w="2551" w:type="dxa"/>
          </w:tcPr>
          <w:p w:rsidR="00C70AB8" w:rsidRPr="00A30323" w:rsidRDefault="00C70AB8" w:rsidP="00B40D9E">
            <w:pPr>
              <w:spacing w:after="0"/>
              <w:rPr>
                <w:sz w:val="20"/>
                <w:szCs w:val="20"/>
                <w:lang w:eastAsia="en-GB"/>
              </w:rPr>
            </w:pPr>
            <w:r w:rsidRPr="00A30323">
              <w:rPr>
                <w:sz w:val="20"/>
                <w:szCs w:val="20"/>
                <w:lang w:eastAsia="en-GB"/>
              </w:rPr>
              <w:t>Budget Increase FEP</w:t>
            </w:r>
            <w:r>
              <w:rPr>
                <w:sz w:val="20"/>
                <w:szCs w:val="20"/>
                <w:lang w:eastAsia="en-GB"/>
              </w:rPr>
              <w:t>2813</w:t>
            </w:r>
          </w:p>
        </w:tc>
      </w:tr>
      <w:tr w:rsidR="00C70AB8" w:rsidRPr="00B93D2C" w:rsidTr="00C70AB8">
        <w:trPr>
          <w:trHeight w:val="139"/>
        </w:trPr>
        <w:tc>
          <w:tcPr>
            <w:tcW w:w="3261" w:type="dxa"/>
          </w:tcPr>
          <w:p w:rsidR="00C70AB8" w:rsidRPr="00EE3E5B" w:rsidRDefault="00C70AB8" w:rsidP="00B40D9E">
            <w:pPr>
              <w:spacing w:after="0"/>
              <w:rPr>
                <w:sz w:val="20"/>
                <w:szCs w:val="20"/>
                <w:lang w:eastAsia="en-GB"/>
              </w:rPr>
            </w:pPr>
            <w:r>
              <w:rPr>
                <w:sz w:val="20"/>
                <w:szCs w:val="20"/>
                <w:lang w:eastAsia="en-GB"/>
              </w:rPr>
              <w:t>IELP – PEG/BDC Development</w:t>
            </w:r>
          </w:p>
        </w:tc>
        <w:tc>
          <w:tcPr>
            <w:tcW w:w="992" w:type="dxa"/>
          </w:tcPr>
          <w:p w:rsidR="00C70AB8" w:rsidRPr="00EE3E5B" w:rsidRDefault="00C70AB8" w:rsidP="00B40D9E">
            <w:pPr>
              <w:spacing w:after="0"/>
              <w:jc w:val="right"/>
              <w:rPr>
                <w:sz w:val="20"/>
                <w:szCs w:val="20"/>
                <w:lang w:eastAsia="en-GB"/>
              </w:rPr>
            </w:pPr>
          </w:p>
        </w:tc>
        <w:tc>
          <w:tcPr>
            <w:tcW w:w="1134" w:type="dxa"/>
          </w:tcPr>
          <w:p w:rsidR="00C70AB8" w:rsidRPr="00EE3E5B" w:rsidRDefault="00C70AB8" w:rsidP="00B40D9E">
            <w:pPr>
              <w:spacing w:after="0"/>
              <w:jc w:val="right"/>
              <w:rPr>
                <w:sz w:val="20"/>
                <w:szCs w:val="20"/>
                <w:lang w:eastAsia="en-GB"/>
              </w:rPr>
            </w:pPr>
            <w:r>
              <w:rPr>
                <w:sz w:val="20"/>
                <w:szCs w:val="20"/>
                <w:lang w:eastAsia="en-GB"/>
              </w:rPr>
              <w:t>550</w:t>
            </w:r>
          </w:p>
        </w:tc>
        <w:tc>
          <w:tcPr>
            <w:tcW w:w="993" w:type="dxa"/>
          </w:tcPr>
          <w:p w:rsidR="00C70AB8" w:rsidRPr="00EE3E5B" w:rsidRDefault="00C70AB8" w:rsidP="00B40D9E">
            <w:pPr>
              <w:spacing w:after="0"/>
              <w:jc w:val="right"/>
              <w:rPr>
                <w:sz w:val="20"/>
                <w:szCs w:val="20"/>
                <w:lang w:eastAsia="en-GB"/>
              </w:rPr>
            </w:pPr>
          </w:p>
        </w:tc>
        <w:tc>
          <w:tcPr>
            <w:tcW w:w="992" w:type="dxa"/>
          </w:tcPr>
          <w:p w:rsidR="00C70AB8" w:rsidRPr="00EE3E5B" w:rsidRDefault="00C70AB8" w:rsidP="00B40D9E">
            <w:pPr>
              <w:spacing w:after="0"/>
              <w:jc w:val="right"/>
              <w:rPr>
                <w:sz w:val="20"/>
                <w:szCs w:val="20"/>
                <w:lang w:eastAsia="en-GB"/>
              </w:rPr>
            </w:pPr>
          </w:p>
        </w:tc>
        <w:tc>
          <w:tcPr>
            <w:tcW w:w="1134" w:type="dxa"/>
          </w:tcPr>
          <w:p w:rsidR="00C70AB8" w:rsidRPr="00EE3E5B" w:rsidRDefault="00C70AB8" w:rsidP="00B40D9E">
            <w:pPr>
              <w:spacing w:after="0"/>
              <w:jc w:val="right"/>
              <w:rPr>
                <w:sz w:val="20"/>
                <w:szCs w:val="20"/>
                <w:lang w:eastAsia="en-GB"/>
              </w:rPr>
            </w:pPr>
          </w:p>
        </w:tc>
        <w:tc>
          <w:tcPr>
            <w:tcW w:w="2551" w:type="dxa"/>
          </w:tcPr>
          <w:p w:rsidR="00C70AB8" w:rsidRPr="00EE3E5B" w:rsidRDefault="00C70AB8" w:rsidP="00B40D9E">
            <w:pPr>
              <w:spacing w:after="0"/>
              <w:rPr>
                <w:sz w:val="20"/>
                <w:szCs w:val="20"/>
                <w:lang w:eastAsia="en-GB"/>
              </w:rPr>
            </w:pPr>
            <w:r>
              <w:rPr>
                <w:sz w:val="20"/>
                <w:szCs w:val="20"/>
                <w:lang w:eastAsia="en-GB"/>
              </w:rPr>
              <w:t>Budget increase FEP2812</w:t>
            </w:r>
          </w:p>
        </w:tc>
      </w:tr>
      <w:tr w:rsidR="00C70AB8" w:rsidRPr="00B93D2C" w:rsidTr="00B40D9E">
        <w:trPr>
          <w:trHeight w:val="70"/>
        </w:trPr>
        <w:tc>
          <w:tcPr>
            <w:tcW w:w="3261" w:type="dxa"/>
            <w:shd w:val="clear" w:color="auto" w:fill="A6A6A6" w:themeFill="background1" w:themeFillShade="A6"/>
          </w:tcPr>
          <w:p w:rsidR="00C70AB8" w:rsidRPr="002038EC" w:rsidRDefault="00C70AB8" w:rsidP="00B40D9E">
            <w:pPr>
              <w:spacing w:after="0"/>
              <w:rPr>
                <w:b/>
                <w:sz w:val="20"/>
                <w:szCs w:val="20"/>
                <w:lang w:eastAsia="en-GB"/>
              </w:rPr>
            </w:pPr>
            <w:r w:rsidRPr="002038EC">
              <w:rPr>
                <w:b/>
                <w:sz w:val="20"/>
                <w:szCs w:val="20"/>
                <w:lang w:eastAsia="en-GB"/>
              </w:rPr>
              <w:t xml:space="preserve">Capital Programme </w:t>
            </w:r>
            <w:r>
              <w:rPr>
                <w:b/>
                <w:sz w:val="20"/>
                <w:szCs w:val="20"/>
                <w:lang w:eastAsia="en-GB"/>
              </w:rPr>
              <w:t>Qtr 3 2017</w:t>
            </w:r>
          </w:p>
        </w:tc>
        <w:tc>
          <w:tcPr>
            <w:tcW w:w="992" w:type="dxa"/>
            <w:shd w:val="clear" w:color="auto" w:fill="A6A6A6" w:themeFill="background1" w:themeFillShade="A6"/>
          </w:tcPr>
          <w:p w:rsidR="00C70AB8" w:rsidRPr="002038EC" w:rsidRDefault="00C70AB8" w:rsidP="00B40D9E">
            <w:pPr>
              <w:spacing w:after="0"/>
              <w:jc w:val="right"/>
              <w:rPr>
                <w:b/>
                <w:sz w:val="20"/>
                <w:szCs w:val="20"/>
                <w:lang w:eastAsia="en-GB"/>
              </w:rPr>
            </w:pPr>
            <w:r>
              <w:rPr>
                <w:b/>
                <w:sz w:val="20"/>
                <w:szCs w:val="20"/>
                <w:lang w:eastAsia="en-GB"/>
              </w:rPr>
              <w:t>20,344</w:t>
            </w:r>
          </w:p>
        </w:tc>
        <w:tc>
          <w:tcPr>
            <w:tcW w:w="1134" w:type="dxa"/>
            <w:shd w:val="clear" w:color="auto" w:fill="A6A6A6" w:themeFill="background1" w:themeFillShade="A6"/>
          </w:tcPr>
          <w:p w:rsidR="00C70AB8" w:rsidRPr="002038EC" w:rsidRDefault="00C70AB8" w:rsidP="00B40D9E">
            <w:pPr>
              <w:spacing w:after="0"/>
              <w:jc w:val="right"/>
              <w:rPr>
                <w:b/>
                <w:sz w:val="20"/>
                <w:szCs w:val="20"/>
                <w:lang w:eastAsia="en-GB"/>
              </w:rPr>
            </w:pPr>
            <w:r>
              <w:rPr>
                <w:b/>
                <w:sz w:val="20"/>
                <w:szCs w:val="20"/>
                <w:lang w:eastAsia="en-GB"/>
              </w:rPr>
              <w:t>39,098</w:t>
            </w:r>
          </w:p>
        </w:tc>
        <w:tc>
          <w:tcPr>
            <w:tcW w:w="993" w:type="dxa"/>
            <w:shd w:val="clear" w:color="auto" w:fill="A6A6A6" w:themeFill="background1" w:themeFillShade="A6"/>
          </w:tcPr>
          <w:p w:rsidR="00C70AB8" w:rsidRPr="002038EC" w:rsidRDefault="00C70AB8" w:rsidP="00B40D9E">
            <w:pPr>
              <w:spacing w:after="0"/>
              <w:jc w:val="right"/>
              <w:rPr>
                <w:b/>
                <w:sz w:val="20"/>
                <w:szCs w:val="20"/>
                <w:lang w:eastAsia="en-GB"/>
              </w:rPr>
            </w:pPr>
            <w:r>
              <w:rPr>
                <w:b/>
                <w:sz w:val="20"/>
                <w:szCs w:val="20"/>
                <w:lang w:eastAsia="en-GB"/>
              </w:rPr>
              <w:t>47,006</w:t>
            </w:r>
          </w:p>
        </w:tc>
        <w:tc>
          <w:tcPr>
            <w:tcW w:w="992" w:type="dxa"/>
            <w:shd w:val="clear" w:color="auto" w:fill="A6A6A6" w:themeFill="background1" w:themeFillShade="A6"/>
          </w:tcPr>
          <w:p w:rsidR="00C70AB8" w:rsidRPr="002038EC" w:rsidRDefault="00C70AB8" w:rsidP="00B40D9E">
            <w:pPr>
              <w:spacing w:after="0"/>
              <w:jc w:val="right"/>
              <w:rPr>
                <w:b/>
                <w:sz w:val="20"/>
                <w:szCs w:val="20"/>
                <w:lang w:eastAsia="en-GB"/>
              </w:rPr>
            </w:pPr>
            <w:r>
              <w:rPr>
                <w:b/>
                <w:sz w:val="20"/>
                <w:szCs w:val="20"/>
                <w:lang w:eastAsia="en-GB"/>
              </w:rPr>
              <w:t>21,382</w:t>
            </w:r>
          </w:p>
        </w:tc>
        <w:tc>
          <w:tcPr>
            <w:tcW w:w="1134" w:type="dxa"/>
            <w:shd w:val="clear" w:color="auto" w:fill="A6A6A6" w:themeFill="background1" w:themeFillShade="A6"/>
          </w:tcPr>
          <w:p w:rsidR="00C70AB8" w:rsidRPr="00CF7913" w:rsidRDefault="00C70AB8" w:rsidP="00B40D9E">
            <w:pPr>
              <w:spacing w:after="0"/>
              <w:jc w:val="right"/>
              <w:rPr>
                <w:b/>
                <w:sz w:val="20"/>
                <w:szCs w:val="20"/>
                <w:lang w:eastAsia="en-GB"/>
              </w:rPr>
            </w:pPr>
            <w:r w:rsidRPr="00CF7913">
              <w:rPr>
                <w:b/>
                <w:sz w:val="20"/>
                <w:szCs w:val="20"/>
                <w:lang w:eastAsia="en-GB"/>
              </w:rPr>
              <w:t>23,0</w:t>
            </w:r>
            <w:r>
              <w:rPr>
                <w:b/>
                <w:sz w:val="20"/>
                <w:szCs w:val="20"/>
                <w:lang w:eastAsia="en-GB"/>
              </w:rPr>
              <w:t>90</w:t>
            </w:r>
          </w:p>
        </w:tc>
        <w:tc>
          <w:tcPr>
            <w:tcW w:w="2551" w:type="dxa"/>
            <w:shd w:val="clear" w:color="auto" w:fill="A6A6A6" w:themeFill="background1" w:themeFillShade="A6"/>
          </w:tcPr>
          <w:p w:rsidR="00C70AB8" w:rsidRPr="002038EC" w:rsidRDefault="00C70AB8" w:rsidP="00B40D9E">
            <w:pPr>
              <w:spacing w:after="0"/>
              <w:rPr>
                <w:sz w:val="20"/>
                <w:szCs w:val="20"/>
                <w:lang w:eastAsia="en-GB"/>
              </w:rPr>
            </w:pPr>
          </w:p>
        </w:tc>
      </w:tr>
      <w:tr w:rsidR="00C70AB8" w:rsidRPr="00B93D2C" w:rsidTr="00B40D9E">
        <w:trPr>
          <w:trHeight w:val="139"/>
        </w:trPr>
        <w:tc>
          <w:tcPr>
            <w:tcW w:w="3261" w:type="dxa"/>
            <w:shd w:val="clear" w:color="auto" w:fill="A6A6A6" w:themeFill="background1" w:themeFillShade="A6"/>
          </w:tcPr>
          <w:p w:rsidR="00C70AB8" w:rsidRPr="00FE534D" w:rsidRDefault="00C70AB8" w:rsidP="00B40D9E">
            <w:pPr>
              <w:spacing w:after="0"/>
              <w:rPr>
                <w:sz w:val="20"/>
                <w:szCs w:val="20"/>
                <w:lang w:eastAsia="en-GB"/>
              </w:rPr>
            </w:pPr>
            <w:r w:rsidRPr="00FE534D">
              <w:rPr>
                <w:sz w:val="20"/>
                <w:szCs w:val="20"/>
                <w:lang w:eastAsia="en-GB"/>
              </w:rPr>
              <w:t>Change</w:t>
            </w:r>
          </w:p>
        </w:tc>
        <w:tc>
          <w:tcPr>
            <w:tcW w:w="992" w:type="dxa"/>
            <w:shd w:val="clear" w:color="auto" w:fill="A6A6A6" w:themeFill="background1" w:themeFillShade="A6"/>
          </w:tcPr>
          <w:p w:rsidR="00C70AB8" w:rsidRPr="00FE534D" w:rsidRDefault="00C70AB8" w:rsidP="00B40D9E">
            <w:pPr>
              <w:spacing w:after="0"/>
              <w:jc w:val="right"/>
              <w:rPr>
                <w:sz w:val="20"/>
                <w:szCs w:val="20"/>
                <w:lang w:eastAsia="en-GB"/>
              </w:rPr>
            </w:pPr>
            <w:r>
              <w:rPr>
                <w:sz w:val="20"/>
                <w:szCs w:val="20"/>
                <w:lang w:eastAsia="en-GB"/>
              </w:rPr>
              <w:t>2,349</w:t>
            </w:r>
          </w:p>
        </w:tc>
        <w:tc>
          <w:tcPr>
            <w:tcW w:w="1134" w:type="dxa"/>
            <w:shd w:val="clear" w:color="auto" w:fill="A6A6A6" w:themeFill="background1" w:themeFillShade="A6"/>
          </w:tcPr>
          <w:p w:rsidR="00C70AB8" w:rsidRPr="00FE534D" w:rsidRDefault="00C70AB8" w:rsidP="00B40D9E">
            <w:pPr>
              <w:spacing w:after="0"/>
              <w:jc w:val="right"/>
              <w:rPr>
                <w:sz w:val="20"/>
                <w:szCs w:val="20"/>
                <w:lang w:eastAsia="en-GB"/>
              </w:rPr>
            </w:pPr>
            <w:r>
              <w:rPr>
                <w:sz w:val="20"/>
                <w:szCs w:val="20"/>
                <w:lang w:eastAsia="en-GB"/>
              </w:rPr>
              <w:t>(2,576)</w:t>
            </w:r>
          </w:p>
        </w:tc>
        <w:tc>
          <w:tcPr>
            <w:tcW w:w="993" w:type="dxa"/>
            <w:shd w:val="clear" w:color="auto" w:fill="A6A6A6" w:themeFill="background1" w:themeFillShade="A6"/>
          </w:tcPr>
          <w:p w:rsidR="00C70AB8" w:rsidRPr="00FE534D" w:rsidRDefault="00C70AB8" w:rsidP="00B40D9E">
            <w:pPr>
              <w:spacing w:after="0"/>
              <w:jc w:val="right"/>
              <w:rPr>
                <w:sz w:val="20"/>
                <w:szCs w:val="20"/>
                <w:lang w:eastAsia="en-GB"/>
              </w:rPr>
            </w:pPr>
            <w:r>
              <w:rPr>
                <w:sz w:val="20"/>
                <w:szCs w:val="20"/>
                <w:lang w:eastAsia="en-GB"/>
              </w:rPr>
              <w:t>5,774</w:t>
            </w:r>
          </w:p>
        </w:tc>
        <w:tc>
          <w:tcPr>
            <w:tcW w:w="992" w:type="dxa"/>
            <w:shd w:val="clear" w:color="auto" w:fill="A6A6A6" w:themeFill="background1" w:themeFillShade="A6"/>
          </w:tcPr>
          <w:p w:rsidR="00C70AB8" w:rsidRPr="00FE534D" w:rsidRDefault="00C70AB8" w:rsidP="00B40D9E">
            <w:pPr>
              <w:spacing w:after="0"/>
              <w:jc w:val="right"/>
              <w:rPr>
                <w:sz w:val="20"/>
                <w:szCs w:val="20"/>
                <w:lang w:eastAsia="en-GB"/>
              </w:rPr>
            </w:pPr>
            <w:r w:rsidRPr="00FE534D">
              <w:rPr>
                <w:sz w:val="20"/>
                <w:szCs w:val="20"/>
                <w:lang w:eastAsia="en-GB"/>
              </w:rPr>
              <w:t>(1,</w:t>
            </w:r>
            <w:r>
              <w:rPr>
                <w:sz w:val="20"/>
                <w:szCs w:val="20"/>
                <w:lang w:eastAsia="en-GB"/>
              </w:rPr>
              <w:t>148</w:t>
            </w:r>
            <w:r w:rsidRPr="00FE534D">
              <w:rPr>
                <w:sz w:val="20"/>
                <w:szCs w:val="20"/>
                <w:lang w:eastAsia="en-GB"/>
              </w:rPr>
              <w:t>)</w:t>
            </w:r>
          </w:p>
        </w:tc>
        <w:tc>
          <w:tcPr>
            <w:tcW w:w="1134" w:type="dxa"/>
            <w:shd w:val="clear" w:color="auto" w:fill="A6A6A6" w:themeFill="background1" w:themeFillShade="A6"/>
          </w:tcPr>
          <w:p w:rsidR="00C70AB8" w:rsidRPr="00FE534D" w:rsidRDefault="00C70AB8" w:rsidP="00B40D9E">
            <w:pPr>
              <w:spacing w:after="0"/>
              <w:jc w:val="right"/>
              <w:rPr>
                <w:sz w:val="20"/>
                <w:szCs w:val="20"/>
                <w:lang w:eastAsia="en-GB"/>
              </w:rPr>
            </w:pPr>
            <w:r>
              <w:rPr>
                <w:sz w:val="20"/>
                <w:szCs w:val="20"/>
                <w:lang w:eastAsia="en-GB"/>
              </w:rPr>
              <w:t>1,680</w:t>
            </w:r>
          </w:p>
        </w:tc>
        <w:tc>
          <w:tcPr>
            <w:tcW w:w="2551" w:type="dxa"/>
            <w:shd w:val="clear" w:color="auto" w:fill="A6A6A6" w:themeFill="background1" w:themeFillShade="A6"/>
          </w:tcPr>
          <w:p w:rsidR="00C70AB8" w:rsidRPr="002038EC" w:rsidRDefault="00C70AB8" w:rsidP="00B40D9E">
            <w:pPr>
              <w:spacing w:after="0"/>
              <w:rPr>
                <w:sz w:val="20"/>
                <w:szCs w:val="20"/>
                <w:lang w:eastAsia="en-GB"/>
              </w:rPr>
            </w:pPr>
          </w:p>
        </w:tc>
      </w:tr>
    </w:tbl>
    <w:p w:rsidR="0070121A" w:rsidRPr="00B93D2C" w:rsidRDefault="0070121A" w:rsidP="0070121A">
      <w:pPr>
        <w:spacing w:after="0"/>
        <w:ind w:left="425"/>
        <w:rPr>
          <w:sz w:val="24"/>
          <w:lang w:eastAsia="en-GB"/>
        </w:rPr>
      </w:pPr>
    </w:p>
    <w:p w:rsidR="007C4D6B" w:rsidRPr="007C4D6B" w:rsidRDefault="007C4D6B" w:rsidP="007C4D6B">
      <w:pPr>
        <w:spacing w:after="200" w:line="276" w:lineRule="auto"/>
        <w:rPr>
          <w:rFonts w:eastAsiaTheme="minorHAnsi" w:cstheme="minorBidi"/>
          <w:szCs w:val="22"/>
        </w:rPr>
      </w:pPr>
    </w:p>
    <w:tbl>
      <w:tblPr>
        <w:tblW w:w="559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2"/>
        <w:gridCol w:w="1136"/>
        <w:gridCol w:w="1210"/>
        <w:gridCol w:w="1055"/>
        <w:gridCol w:w="305"/>
        <w:gridCol w:w="1207"/>
        <w:gridCol w:w="1057"/>
        <w:gridCol w:w="1964"/>
      </w:tblGrid>
      <w:tr w:rsidR="00760319" w:rsidRPr="000A5D51" w:rsidTr="00B40D9E">
        <w:trPr>
          <w:cantSplit/>
          <w:trHeight w:val="1042"/>
          <w:tblHeader/>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319" w:rsidRPr="000A5D51" w:rsidRDefault="00760319" w:rsidP="00173447">
            <w:pPr>
              <w:spacing w:before="40" w:after="40"/>
              <w:rPr>
                <w:b/>
                <w:bCs/>
                <w:sz w:val="20"/>
                <w:szCs w:val="20"/>
                <w:lang w:eastAsia="en-GB"/>
              </w:rPr>
            </w:pPr>
            <w:r w:rsidRPr="000A5D51">
              <w:rPr>
                <w:sz w:val="20"/>
                <w:szCs w:val="20"/>
                <w:lang w:eastAsia="en-GB"/>
              </w:rPr>
              <w:br w:type="page"/>
            </w:r>
            <w:r w:rsidRPr="000A5D51">
              <w:rPr>
                <w:sz w:val="20"/>
                <w:szCs w:val="20"/>
                <w:lang w:eastAsia="en-GB"/>
              </w:rPr>
              <w:br w:type="page"/>
            </w:r>
            <w:r w:rsidRPr="000A5D51">
              <w:rPr>
                <w:b/>
                <w:sz w:val="20"/>
                <w:szCs w:val="20"/>
                <w:lang w:eastAsia="en-GB"/>
              </w:rPr>
              <w:t xml:space="preserve">APPENDIX 1 – 2017/18 </w:t>
            </w:r>
            <w:r w:rsidRPr="000A5D51">
              <w:rPr>
                <w:b/>
                <w:bCs/>
                <w:sz w:val="20"/>
                <w:szCs w:val="20"/>
                <w:lang w:eastAsia="en-GB"/>
              </w:rPr>
              <w:t>CAPITAL PROGRAMME</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r w:rsidRPr="000A5D51">
              <w:rPr>
                <w:b/>
                <w:bCs/>
                <w:sz w:val="20"/>
                <w:szCs w:val="20"/>
                <w:lang w:eastAsia="en-GB"/>
              </w:rPr>
              <w:t xml:space="preserve">2017-18 Capital Budget </w:t>
            </w:r>
          </w:p>
          <w:p w:rsidR="00760319" w:rsidRPr="000A5D51" w:rsidRDefault="00760319" w:rsidP="00173447">
            <w:pPr>
              <w:spacing w:before="40" w:after="40"/>
              <w:rPr>
                <w:b/>
                <w:bCs/>
                <w:sz w:val="20"/>
                <w:szCs w:val="20"/>
                <w:lang w:eastAsia="en-GB"/>
              </w:rPr>
            </w:pPr>
            <w:r w:rsidRPr="000A5D51">
              <w:rPr>
                <w:b/>
                <w:bCs/>
                <w:sz w:val="20"/>
                <w:szCs w:val="20"/>
                <w:lang w:eastAsia="en-GB"/>
              </w:rPr>
              <w:t>July 2017</w:t>
            </w:r>
          </w:p>
          <w:p w:rsidR="00760319" w:rsidRPr="000A5D51" w:rsidRDefault="00760319" w:rsidP="00173447">
            <w:pPr>
              <w:spacing w:before="40" w:after="40"/>
              <w:rPr>
                <w:b/>
                <w:bCs/>
                <w:sz w:val="20"/>
                <w:szCs w:val="20"/>
                <w:lang w:eastAsia="en-GB"/>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r w:rsidRPr="000A5D51">
              <w:rPr>
                <w:b/>
                <w:bCs/>
                <w:sz w:val="20"/>
                <w:szCs w:val="20"/>
                <w:lang w:eastAsia="en-GB"/>
              </w:rPr>
              <w:t xml:space="preserve">Current Forecast 2017/18  </w:t>
            </w:r>
          </w:p>
          <w:p w:rsidR="00760319" w:rsidRPr="000A5D51" w:rsidRDefault="00760319" w:rsidP="00173447">
            <w:pPr>
              <w:spacing w:before="40" w:after="40"/>
              <w:rPr>
                <w:b/>
                <w:bCs/>
                <w:sz w:val="20"/>
                <w:szCs w:val="20"/>
                <w:lang w:eastAsia="en-GB"/>
              </w:rPr>
            </w:pPr>
            <w:r w:rsidRPr="000A5D51">
              <w:rPr>
                <w:b/>
                <w:bCs/>
                <w:sz w:val="20"/>
                <w:szCs w:val="20"/>
                <w:lang w:eastAsia="en-GB"/>
              </w:rPr>
              <w:t xml:space="preserve">Qtr 3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r w:rsidRPr="000A5D51">
              <w:rPr>
                <w:b/>
                <w:bCs/>
                <w:sz w:val="20"/>
                <w:szCs w:val="20"/>
                <w:lang w:eastAsia="en-GB"/>
              </w:rPr>
              <w:t>Variance</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r w:rsidRPr="000A5D51">
              <w:rPr>
                <w:b/>
                <w:bCs/>
                <w:sz w:val="20"/>
                <w:szCs w:val="20"/>
                <w:lang w:eastAsia="en-GB"/>
              </w:rPr>
              <w:t>Last reported position 2017/18</w:t>
            </w:r>
          </w:p>
          <w:p w:rsidR="00760319" w:rsidRPr="000A5D51" w:rsidRDefault="00760319" w:rsidP="00173447">
            <w:pPr>
              <w:spacing w:before="40" w:after="40"/>
              <w:rPr>
                <w:b/>
                <w:bCs/>
                <w:sz w:val="20"/>
                <w:szCs w:val="20"/>
                <w:lang w:eastAsia="en-GB"/>
              </w:rPr>
            </w:pPr>
            <w:r w:rsidRPr="000A5D51">
              <w:rPr>
                <w:b/>
                <w:bCs/>
                <w:sz w:val="20"/>
                <w:szCs w:val="20"/>
                <w:lang w:eastAsia="en-GB"/>
              </w:rPr>
              <w:t>Qtr 2</w:t>
            </w:r>
          </w:p>
          <w:p w:rsidR="00760319" w:rsidRPr="000A5D51" w:rsidRDefault="00760319" w:rsidP="00173447">
            <w:pPr>
              <w:spacing w:before="40" w:after="40"/>
              <w:rPr>
                <w:b/>
                <w:bCs/>
                <w:sz w:val="20"/>
                <w:szCs w:val="20"/>
                <w:lang w:eastAsia="en-GB"/>
              </w:rPr>
            </w:pPr>
            <w:r w:rsidRPr="000A5D51">
              <w:rPr>
                <w:b/>
                <w:bCs/>
                <w:sz w:val="20"/>
                <w:szCs w:val="20"/>
                <w:lang w:eastAsia="en-GB"/>
              </w:rPr>
              <w:t>FEP2792</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r w:rsidRPr="000A5D51">
              <w:rPr>
                <w:b/>
                <w:bCs/>
                <w:sz w:val="20"/>
                <w:szCs w:val="20"/>
                <w:lang w:eastAsia="en-GB"/>
              </w:rPr>
              <w:t>Variance</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r w:rsidRPr="000A5D51">
              <w:rPr>
                <w:b/>
                <w:bCs/>
                <w:sz w:val="20"/>
                <w:szCs w:val="20"/>
                <w:lang w:eastAsia="en-GB"/>
              </w:rPr>
              <w:t>Notes</w:t>
            </w:r>
          </w:p>
        </w:tc>
      </w:tr>
      <w:tr w:rsidR="00760319" w:rsidRPr="000A5D51" w:rsidTr="00B40D9E">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319" w:rsidRPr="000A5D51" w:rsidRDefault="00760319" w:rsidP="00173447">
            <w:pPr>
              <w:spacing w:before="40" w:after="40"/>
              <w:rPr>
                <w:b/>
                <w:bCs/>
                <w:sz w:val="20"/>
                <w:szCs w:val="20"/>
                <w:lang w:eastAsia="en-GB"/>
              </w:rPr>
            </w:pPr>
            <w:r w:rsidRPr="000A5D51">
              <w:rPr>
                <w:b/>
                <w:bCs/>
                <w:sz w:val="20"/>
                <w:szCs w:val="20"/>
                <w:lang w:eastAsia="en-GB"/>
              </w:rPr>
              <w:t>ICT Projects</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r w:rsidRPr="000A5D51">
              <w:rPr>
                <w:b/>
                <w:bCs/>
                <w:sz w:val="20"/>
                <w:szCs w:val="20"/>
                <w:lang w:eastAsia="en-GB"/>
              </w:rPr>
              <w:t>£’000s</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highlight w:val="yellow"/>
                <w:lang w:eastAsia="en-GB"/>
              </w:rPr>
            </w:pPr>
            <w:r w:rsidRPr="000A5D51">
              <w:rPr>
                <w:b/>
                <w:bCs/>
                <w:sz w:val="20"/>
                <w:szCs w:val="20"/>
                <w:lang w:eastAsia="en-GB"/>
              </w:rPr>
              <w:t>£’000s</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r w:rsidRPr="000A5D51">
              <w:rPr>
                <w:b/>
                <w:bCs/>
                <w:sz w:val="20"/>
                <w:szCs w:val="20"/>
                <w:lang w:eastAsia="en-GB"/>
              </w:rPr>
              <w:t>£’000s</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r w:rsidRPr="000A5D51">
              <w:rPr>
                <w:b/>
                <w:bCs/>
                <w:sz w:val="20"/>
                <w:szCs w:val="20"/>
                <w:lang w:eastAsia="en-GB"/>
              </w:rPr>
              <w:t>£’000s</w:t>
            </w: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r w:rsidRPr="000A5D51">
              <w:rPr>
                <w:b/>
                <w:bCs/>
                <w:sz w:val="20"/>
                <w:szCs w:val="20"/>
                <w:lang w:eastAsia="en-GB"/>
              </w:rPr>
              <w:t>£’000s</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hideMark/>
          </w:tcPr>
          <w:p w:rsidR="00760319" w:rsidRPr="000A5D51" w:rsidRDefault="00760319" w:rsidP="00173447">
            <w:pPr>
              <w:spacing w:before="40" w:after="40"/>
              <w:rPr>
                <w:bCs/>
                <w:sz w:val="20"/>
                <w:szCs w:val="20"/>
                <w:lang w:eastAsia="en-GB"/>
              </w:rPr>
            </w:pPr>
            <w:r w:rsidRPr="000A5D51">
              <w:rPr>
                <w:bCs/>
                <w:sz w:val="20"/>
                <w:szCs w:val="20"/>
                <w:lang w:eastAsia="en-GB"/>
              </w:rPr>
              <w:t>Upgrade Operating System</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98</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(98)</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Business Intelligent Solution</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900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(650)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later years</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Control &amp; Mobilisation System  (CAMS)</w:t>
            </w:r>
          </w:p>
        </w:tc>
        <w:tc>
          <w:tcPr>
            <w:tcW w:w="514" w:type="pct"/>
            <w:tcBorders>
              <w:top w:val="nil"/>
              <w:left w:val="single" w:sz="4" w:space="0" w:color="auto"/>
              <w:bottom w:val="single" w:sz="4" w:space="0" w:color="auto"/>
              <w:right w:val="single" w:sz="4" w:space="0" w:color="auto"/>
            </w:tcBorders>
            <w:vAlign w:val="center"/>
          </w:tcPr>
          <w:p w:rsidR="00760319" w:rsidRPr="000A5D51" w:rsidRDefault="00760319" w:rsidP="00173447">
            <w:pPr>
              <w:spacing w:before="40" w:after="40"/>
              <w:jc w:val="right"/>
              <w:rPr>
                <w:bCs/>
                <w:sz w:val="20"/>
                <w:szCs w:val="20"/>
                <w:lang w:eastAsia="en-GB"/>
              </w:rPr>
            </w:pPr>
            <w:r w:rsidRPr="000A5D51">
              <w:rPr>
                <w:bCs/>
                <w:sz w:val="20"/>
                <w:szCs w:val="20"/>
                <w:lang w:eastAsia="en-GB"/>
              </w:rPr>
              <w:t>470</w:t>
            </w:r>
          </w:p>
        </w:tc>
        <w:tc>
          <w:tcPr>
            <w:tcW w:w="548" w:type="pct"/>
            <w:tcBorders>
              <w:top w:val="nil"/>
              <w:left w:val="single" w:sz="4" w:space="0" w:color="auto"/>
              <w:bottom w:val="single" w:sz="4" w:space="0" w:color="auto"/>
              <w:right w:val="single" w:sz="4" w:space="0" w:color="auto"/>
            </w:tcBorders>
            <w:vAlign w:val="center"/>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(470)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vAlign w:val="center"/>
          </w:tcPr>
          <w:p w:rsidR="00760319" w:rsidRPr="000A5D51" w:rsidRDefault="00760319" w:rsidP="00173447">
            <w:pPr>
              <w:spacing w:before="40" w:after="40"/>
              <w:jc w:val="right"/>
              <w:rPr>
                <w:bCs/>
                <w:sz w:val="20"/>
                <w:szCs w:val="20"/>
                <w:lang w:eastAsia="en-GB"/>
              </w:rPr>
            </w:pPr>
            <w:r w:rsidRPr="000A5D51">
              <w:rPr>
                <w:bCs/>
                <w:sz w:val="20"/>
                <w:szCs w:val="20"/>
                <w:lang w:eastAsia="en-GB"/>
              </w:rPr>
              <w:t>100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(100)</w:t>
            </w:r>
          </w:p>
        </w:tc>
        <w:tc>
          <w:tcPr>
            <w:tcW w:w="890" w:type="pct"/>
            <w:tcBorders>
              <w:top w:val="nil"/>
              <w:left w:val="single" w:sz="4" w:space="0" w:color="auto"/>
              <w:bottom w:val="single" w:sz="4" w:space="0" w:color="auto"/>
              <w:right w:val="single" w:sz="4" w:space="0" w:color="auto"/>
            </w:tcBorders>
            <w:vAlign w:val="center"/>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Mobile Data Terminals Replacement</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288</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57</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(231)</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288</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(231)</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 xml:space="preserve">£71k to 2018/19 </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Home Fire Safety Database</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Replacement of laptops (FEP2462)</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131</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334</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203</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231</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103</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Within existing approval</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Public Services Network</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707</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(707)</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tcPr>
          <w:p w:rsidR="00760319" w:rsidRPr="000A5D51" w:rsidRDefault="00760319" w:rsidP="00173447">
            <w:pPr>
              <w:spacing w:before="40" w:after="40"/>
              <w:rPr>
                <w:bCs/>
                <w:sz w:val="20"/>
                <w:szCs w:val="20"/>
                <w:lang w:eastAsia="en-GB"/>
              </w:rPr>
            </w:pPr>
            <w:r w:rsidRPr="000A5D51">
              <w:rPr>
                <w:bCs/>
                <w:sz w:val="20"/>
                <w:szCs w:val="20"/>
                <w:lang w:eastAsia="en-GB"/>
              </w:rPr>
              <w:t>Accident (event) reporting solution</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60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Add budget reqmt</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tcPr>
          <w:p w:rsidR="00760319" w:rsidRPr="000A5D51" w:rsidRDefault="00760319" w:rsidP="00173447">
            <w:pPr>
              <w:spacing w:before="40" w:after="40"/>
              <w:rPr>
                <w:bCs/>
                <w:sz w:val="20"/>
                <w:szCs w:val="20"/>
                <w:lang w:eastAsia="en-GB"/>
              </w:rPr>
            </w:pPr>
            <w:r w:rsidRPr="000A5D51">
              <w:rPr>
                <w:bCs/>
                <w:sz w:val="20"/>
                <w:szCs w:val="20"/>
                <w:lang w:eastAsia="en-GB"/>
              </w:rPr>
              <w:t>Online Payment Facility</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tcPr>
          <w:p w:rsidR="00760319" w:rsidRPr="000A5D51" w:rsidRDefault="00760319" w:rsidP="00173447">
            <w:pPr>
              <w:spacing w:before="40" w:after="40"/>
              <w:rPr>
                <w:bCs/>
                <w:sz w:val="20"/>
                <w:szCs w:val="20"/>
                <w:lang w:eastAsia="en-GB"/>
              </w:rPr>
            </w:pPr>
            <w:r w:rsidRPr="000A5D51">
              <w:rPr>
                <w:bCs/>
                <w:sz w:val="20"/>
                <w:szCs w:val="20"/>
                <w:lang w:eastAsia="en-GB"/>
              </w:rPr>
              <w:t>Audio visual equip for Union Street</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Add budget reqmt</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Blade Farm/</w:t>
            </w:r>
            <w:r w:rsidRPr="000A5D51">
              <w:rPr>
                <w:sz w:val="20"/>
                <w:szCs w:val="20"/>
                <w:lang w:eastAsia="en-GB"/>
              </w:rPr>
              <w:t xml:space="preserve"> </w:t>
            </w:r>
            <w:r w:rsidRPr="000A5D51">
              <w:rPr>
                <w:bCs/>
                <w:sz w:val="20"/>
                <w:szCs w:val="20"/>
                <w:lang w:eastAsia="en-GB"/>
              </w:rPr>
              <w:t xml:space="preserve">Hyperconverged </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Budget saving</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Virtual Desktop Technology</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Pr>
                <w:bCs/>
                <w:sz w:val="20"/>
                <w:szCs w:val="20"/>
                <w:lang w:eastAsia="en-GB"/>
              </w:rPr>
              <w:t>T</w:t>
            </w:r>
            <w:r w:rsidRPr="000A5D51">
              <w:rPr>
                <w:bCs/>
                <w:sz w:val="20"/>
                <w:szCs w:val="20"/>
                <w:lang w:eastAsia="en-GB"/>
              </w:rPr>
              <w:t>lephone system equipment</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157</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157</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157</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New computer terminals</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69</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69</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69</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Core Switch Modules</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Wireless LAN Controllers</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198</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120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(78)</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198</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(78)</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Budget saving</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 xml:space="preserve">Station Network Rewires </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100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(100)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 xml:space="preserve">Physical Server Environment </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500</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(200)</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300</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nil"/>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ICT Projects Over programming</w:t>
            </w:r>
          </w:p>
        </w:tc>
        <w:tc>
          <w:tcPr>
            <w:tcW w:w="514"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(1,098)</w:t>
            </w:r>
          </w:p>
        </w:tc>
        <w:tc>
          <w:tcPr>
            <w:tcW w:w="54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(420)</w:t>
            </w:r>
          </w:p>
        </w:tc>
        <w:tc>
          <w:tcPr>
            <w:tcW w:w="47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678</w:t>
            </w:r>
          </w:p>
        </w:tc>
        <w:tc>
          <w:tcPr>
            <w:tcW w:w="138"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(498)</w:t>
            </w:r>
          </w:p>
        </w:tc>
        <w:tc>
          <w:tcPr>
            <w:tcW w:w="479"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78</w:t>
            </w:r>
          </w:p>
        </w:tc>
        <w:tc>
          <w:tcPr>
            <w:tcW w:w="890" w:type="pct"/>
            <w:tcBorders>
              <w:top w:val="nil"/>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B40D9E">
        <w:trPr>
          <w:cantSplit/>
          <w:trHeight w:val="19"/>
        </w:trPr>
        <w:tc>
          <w:tcPr>
            <w:tcW w:w="1404" w:type="pct"/>
            <w:tcBorders>
              <w:top w:val="nil"/>
              <w:left w:val="single" w:sz="4" w:space="0" w:color="auto"/>
              <w:bottom w:val="single" w:sz="4" w:space="0" w:color="auto"/>
              <w:right w:val="single" w:sz="4" w:space="0" w:color="auto"/>
            </w:tcBorders>
            <w:shd w:val="clear" w:color="auto" w:fill="A6A6A6" w:themeFill="background1" w:themeFillShade="A6"/>
            <w:noWrap/>
            <w:vAlign w:val="center"/>
          </w:tcPr>
          <w:p w:rsidR="00760319" w:rsidRPr="000A5D51" w:rsidRDefault="00760319" w:rsidP="00173447">
            <w:pPr>
              <w:spacing w:before="40" w:after="40"/>
              <w:rPr>
                <w:bCs/>
                <w:sz w:val="20"/>
                <w:szCs w:val="20"/>
                <w:lang w:eastAsia="en-GB"/>
              </w:rPr>
            </w:pPr>
            <w:r w:rsidRPr="000A5D51">
              <w:rPr>
                <w:b/>
                <w:bCs/>
                <w:sz w:val="20"/>
                <w:szCs w:val="20"/>
                <w:lang w:eastAsia="en-GB"/>
              </w:rPr>
              <w:t>ICT PROJECTS</w:t>
            </w:r>
          </w:p>
        </w:tc>
        <w:tc>
          <w:tcPr>
            <w:tcW w:w="514" w:type="pct"/>
            <w:tcBorders>
              <w:top w:val="nil"/>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3,770</w:t>
            </w:r>
          </w:p>
        </w:tc>
        <w:tc>
          <w:tcPr>
            <w:tcW w:w="548" w:type="pct"/>
            <w:tcBorders>
              <w:top w:val="nil"/>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highlight w:val="yellow"/>
                <w:lang w:eastAsia="en-GB"/>
              </w:rPr>
            </w:pPr>
            <w:r w:rsidRPr="000A5D51">
              <w:rPr>
                <w:b/>
                <w:bCs/>
                <w:sz w:val="20"/>
                <w:szCs w:val="20"/>
                <w:lang w:eastAsia="en-GB"/>
              </w:rPr>
              <w:t>1,147</w:t>
            </w:r>
          </w:p>
        </w:tc>
        <w:tc>
          <w:tcPr>
            <w:tcW w:w="478" w:type="pct"/>
            <w:tcBorders>
              <w:top w:val="nil"/>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(2,623)</w:t>
            </w:r>
          </w:p>
        </w:tc>
        <w:tc>
          <w:tcPr>
            <w:tcW w:w="138" w:type="pct"/>
            <w:tcBorders>
              <w:top w:val="nil"/>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p>
        </w:tc>
        <w:tc>
          <w:tcPr>
            <w:tcW w:w="547" w:type="pct"/>
            <w:tcBorders>
              <w:top w:val="nil"/>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1,375</w:t>
            </w:r>
          </w:p>
        </w:tc>
        <w:tc>
          <w:tcPr>
            <w:tcW w:w="479" w:type="pct"/>
            <w:tcBorders>
              <w:top w:val="nil"/>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(228)</w:t>
            </w:r>
          </w:p>
        </w:tc>
        <w:tc>
          <w:tcPr>
            <w:tcW w:w="890" w:type="pct"/>
            <w:tcBorders>
              <w:top w:val="nil"/>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rPr>
                <w:b/>
                <w:bCs/>
                <w:sz w:val="16"/>
                <w:szCs w:val="16"/>
                <w:lang w:eastAsia="en-GB"/>
              </w:rPr>
            </w:pPr>
          </w:p>
        </w:tc>
      </w:tr>
      <w:tr w:rsidR="00760319" w:rsidRPr="000A5D51" w:rsidTr="00B40D9E">
        <w:trPr>
          <w:cantSplit/>
          <w:trHeight w:val="19"/>
        </w:trPr>
        <w:tc>
          <w:tcPr>
            <w:tcW w:w="1404" w:type="pct"/>
            <w:tcBorders>
              <w:top w:val="nil"/>
              <w:left w:val="single" w:sz="4" w:space="0" w:color="auto"/>
              <w:bottom w:val="single" w:sz="4" w:space="0" w:color="auto"/>
              <w:right w:val="single" w:sz="4" w:space="0" w:color="auto"/>
            </w:tcBorders>
            <w:shd w:val="clear" w:color="auto" w:fill="auto"/>
            <w:noWrap/>
            <w:vAlign w:val="center"/>
            <w:hideMark/>
          </w:tcPr>
          <w:p w:rsidR="00760319" w:rsidRPr="000A5D51" w:rsidRDefault="00760319" w:rsidP="00173447">
            <w:pPr>
              <w:spacing w:before="40" w:after="40"/>
              <w:rPr>
                <w:b/>
                <w:bCs/>
                <w:sz w:val="20"/>
                <w:szCs w:val="20"/>
                <w:lang w:eastAsia="en-GB"/>
              </w:rPr>
            </w:pPr>
            <w:r w:rsidRPr="000A5D51">
              <w:rPr>
                <w:sz w:val="20"/>
                <w:szCs w:val="20"/>
                <w:lang w:eastAsia="en-GB"/>
              </w:rPr>
              <w:br w:type="page"/>
            </w:r>
            <w:r w:rsidRPr="000A5D51">
              <w:rPr>
                <w:b/>
                <w:bCs/>
                <w:sz w:val="20"/>
                <w:szCs w:val="20"/>
                <w:lang w:eastAsia="en-GB"/>
              </w:rPr>
              <w:t>ESTATE PROJECTS</w:t>
            </w:r>
          </w:p>
        </w:tc>
        <w:tc>
          <w:tcPr>
            <w:tcW w:w="514" w:type="pct"/>
            <w:tcBorders>
              <w:top w:val="nil"/>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548" w:type="pct"/>
            <w:tcBorders>
              <w:top w:val="nil"/>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highlight w:val="yellow"/>
                <w:lang w:eastAsia="en-GB"/>
              </w:rPr>
            </w:pPr>
          </w:p>
        </w:tc>
        <w:tc>
          <w:tcPr>
            <w:tcW w:w="478" w:type="pct"/>
            <w:tcBorders>
              <w:top w:val="nil"/>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138" w:type="pct"/>
            <w:tcBorders>
              <w:top w:val="nil"/>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547" w:type="pct"/>
            <w:tcBorders>
              <w:top w:val="nil"/>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479" w:type="pct"/>
            <w:tcBorders>
              <w:top w:val="nil"/>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890" w:type="pct"/>
            <w:tcBorders>
              <w:top w:val="nil"/>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16"/>
                <w:szCs w:val="16"/>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0"/>
              <w:rPr>
                <w:b/>
                <w:bCs/>
                <w:sz w:val="20"/>
                <w:szCs w:val="20"/>
                <w:lang w:eastAsia="en-GB"/>
              </w:rPr>
            </w:pPr>
            <w:r w:rsidRPr="000A5D51">
              <w:rPr>
                <w:bCs/>
                <w:sz w:val="20"/>
                <w:szCs w:val="20"/>
                <w:lang w:eastAsia="en-GB"/>
              </w:rPr>
              <w:t>Fire Station Refurb (Middx)</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0"/>
              <w:jc w:val="right"/>
              <w:rPr>
                <w:bCs/>
                <w:sz w:val="20"/>
                <w:szCs w:val="20"/>
                <w:lang w:eastAsia="en-GB"/>
              </w:rPr>
            </w:pPr>
            <w:r w:rsidRPr="000A5D51">
              <w:rPr>
                <w:bCs/>
                <w:sz w:val="20"/>
                <w:szCs w:val="20"/>
                <w:lang w:eastAsia="en-GB"/>
              </w:rPr>
              <w:t>100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0"/>
              <w:jc w:val="right"/>
              <w:rPr>
                <w:bCs/>
                <w:sz w:val="20"/>
                <w:szCs w:val="20"/>
                <w:lang w:eastAsia="en-GB"/>
              </w:rPr>
            </w:pPr>
            <w:r w:rsidRPr="000A5D51">
              <w:rPr>
                <w:bCs/>
                <w:sz w:val="20"/>
                <w:szCs w:val="20"/>
                <w:lang w:eastAsia="en-GB"/>
              </w:rPr>
              <w:t>(100)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100" w:after="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100" w:after="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100" w:after="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100" w:after="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 xml:space="preserve">Alteration works to Union St HQ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75</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42</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(33)</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42</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Budget savings</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W</w:t>
            </w:r>
            <w:r>
              <w:rPr>
                <w:bCs/>
                <w:sz w:val="20"/>
                <w:szCs w:val="20"/>
                <w:lang w:eastAsia="en-GB"/>
              </w:rPr>
              <w:t>orkplace Plan (WIP) Union St</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240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240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240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Re-develop Plumstead F</w:t>
            </w:r>
            <w:r>
              <w:rPr>
                <w:bCs/>
                <w:sz w:val="20"/>
                <w:szCs w:val="20"/>
                <w:lang w:eastAsia="en-GB"/>
              </w:rPr>
              <w:t>.S.</w:t>
            </w:r>
            <w:r w:rsidRPr="000A5D51">
              <w:rPr>
                <w:bCs/>
                <w:sz w:val="20"/>
                <w:szCs w:val="20"/>
                <w:lang w:eastAsia="en-GB"/>
              </w:rPr>
              <w:t xml:space="preserve">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Bromley FS works</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214</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240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26</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240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Add budget reqmt</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LFB Museum – Fitout</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18</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18</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18</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Trf from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 xml:space="preserve">Refurbishment of Edmonton F.S.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To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Heating at various fire stations</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1,575</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1,575</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1,575</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Pr>
                <w:bCs/>
                <w:sz w:val="20"/>
                <w:szCs w:val="20"/>
                <w:lang w:eastAsia="en-GB"/>
              </w:rPr>
              <w:t>Window replacement at F.S.</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140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(160)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140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£160k to Appliance Bay Doors</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Rewiring at various fire stations</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592</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789</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197</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789</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£197k from Appliance bay floors</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hideMark/>
          </w:tcPr>
          <w:p w:rsidR="00760319" w:rsidRPr="000A5D51" w:rsidRDefault="00760319" w:rsidP="00173447">
            <w:pPr>
              <w:spacing w:before="40" w:after="40"/>
              <w:rPr>
                <w:b/>
                <w:bCs/>
                <w:sz w:val="20"/>
                <w:szCs w:val="20"/>
                <w:lang w:eastAsia="en-GB"/>
              </w:rPr>
            </w:pPr>
            <w:r w:rsidRPr="000A5D51">
              <w:rPr>
                <w:bCs/>
                <w:sz w:val="20"/>
                <w:szCs w:val="20"/>
                <w:lang w:eastAsia="en-GB"/>
              </w:rPr>
              <w:t>Building Energy Efficiency (BEEP2)</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789</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764</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764</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Budget Savings</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hideMark/>
          </w:tcPr>
          <w:p w:rsidR="00760319" w:rsidRPr="000A5D51" w:rsidRDefault="00760319" w:rsidP="00173447">
            <w:pPr>
              <w:spacing w:before="40" w:after="40"/>
              <w:rPr>
                <w:b/>
                <w:bCs/>
                <w:sz w:val="20"/>
                <w:szCs w:val="20"/>
                <w:lang w:eastAsia="en-GB"/>
              </w:rPr>
            </w:pPr>
            <w:r w:rsidRPr="000A5D51">
              <w:rPr>
                <w:bCs/>
                <w:sz w:val="20"/>
                <w:szCs w:val="20"/>
                <w:lang w:eastAsia="en-GB"/>
              </w:rPr>
              <w:t>Minor Improvement Programme</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1,681</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1,002</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(679)</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1,170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(168)</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£251k budget savings &amp; £260k  to Appliance Bay Doors £168k to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hideMark/>
          </w:tcPr>
          <w:p w:rsidR="00760319" w:rsidRPr="000A5D51" w:rsidRDefault="00760319" w:rsidP="00173447">
            <w:pPr>
              <w:spacing w:before="40" w:after="40"/>
              <w:rPr>
                <w:b/>
                <w:bCs/>
                <w:sz w:val="20"/>
                <w:szCs w:val="20"/>
                <w:lang w:eastAsia="en-GB"/>
              </w:rPr>
            </w:pPr>
            <w:r w:rsidRPr="000A5D51">
              <w:rPr>
                <w:bCs/>
                <w:sz w:val="20"/>
                <w:szCs w:val="20"/>
                <w:lang w:eastAsia="en-GB"/>
              </w:rPr>
              <w:t>Corporate Property Project</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Budget savings</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hideMark/>
          </w:tcPr>
          <w:p w:rsidR="00760319" w:rsidRPr="000A5D51" w:rsidRDefault="00760319" w:rsidP="00173447">
            <w:pPr>
              <w:spacing w:before="40" w:after="40"/>
              <w:rPr>
                <w:bCs/>
                <w:sz w:val="20"/>
                <w:szCs w:val="20"/>
                <w:lang w:eastAsia="en-GB"/>
              </w:rPr>
            </w:pPr>
            <w:r w:rsidRPr="000A5D51">
              <w:rPr>
                <w:bCs/>
                <w:sz w:val="20"/>
                <w:szCs w:val="20"/>
                <w:lang w:eastAsia="en-GB"/>
              </w:rPr>
              <w:t>Appliance Bay Doors (Phase 3)</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220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365</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165</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640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p w:rsidR="00760319" w:rsidRPr="000A5D51" w:rsidRDefault="00760319" w:rsidP="00173447">
            <w:pPr>
              <w:spacing w:before="40" w:after="40"/>
              <w:jc w:val="right"/>
              <w:rPr>
                <w:bCs/>
                <w:sz w:val="20"/>
                <w:szCs w:val="20"/>
                <w:lang w:eastAsia="en-GB"/>
              </w:rPr>
            </w:pPr>
            <w:r w:rsidRPr="000A5D51">
              <w:rPr>
                <w:bCs/>
                <w:sz w:val="20"/>
                <w:szCs w:val="20"/>
                <w:lang w:eastAsia="en-GB"/>
              </w:rPr>
              <w:t>(275)</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£160k  from Windows Budget &amp; £260k from Minor Imp &amp; £275k to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Appliance Bay Floors</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£53k to Fire Safety Projects &amp; £197k to FS rewiring</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hideMark/>
          </w:tcPr>
          <w:p w:rsidR="00760319" w:rsidRPr="000A5D51" w:rsidRDefault="00760319" w:rsidP="00173447">
            <w:pPr>
              <w:spacing w:before="40" w:after="40"/>
              <w:rPr>
                <w:bCs/>
                <w:sz w:val="20"/>
                <w:szCs w:val="20"/>
                <w:lang w:eastAsia="en-GB"/>
              </w:rPr>
            </w:pPr>
            <w:r w:rsidRPr="000A5D51">
              <w:rPr>
                <w:bCs/>
                <w:sz w:val="20"/>
                <w:szCs w:val="20"/>
                <w:lang w:eastAsia="en-GB"/>
              </w:rPr>
              <w:t>Asbestos Removal</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50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50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sz w:val="20"/>
                <w:szCs w:val="20"/>
                <w:lang w:eastAsia="en-GB"/>
              </w:rPr>
            </w:pPr>
            <w:r w:rsidRPr="000A5D51">
              <w:rPr>
                <w:bCs/>
                <w:sz w:val="20"/>
                <w:szCs w:val="20"/>
                <w:lang w:eastAsia="en-GB"/>
              </w:rPr>
              <w:t>50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rPr>
                <w:sz w:val="16"/>
                <w:szCs w:val="16"/>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hideMark/>
          </w:tcPr>
          <w:p w:rsidR="00760319" w:rsidRPr="000A5D51" w:rsidRDefault="00760319" w:rsidP="00173447">
            <w:pPr>
              <w:spacing w:before="40" w:after="40"/>
              <w:rPr>
                <w:bCs/>
                <w:sz w:val="20"/>
                <w:szCs w:val="20"/>
                <w:lang w:eastAsia="en-GB"/>
              </w:rPr>
            </w:pPr>
            <w:r w:rsidRPr="000A5D51">
              <w:rPr>
                <w:bCs/>
                <w:sz w:val="20"/>
                <w:szCs w:val="20"/>
                <w:lang w:eastAsia="en-GB"/>
              </w:rPr>
              <w:t>Fire Safety Works at Fire Stations</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54</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60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6</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107</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jc w:val="right"/>
              <w:rPr>
                <w:bCs/>
                <w:sz w:val="20"/>
                <w:szCs w:val="20"/>
                <w:lang w:eastAsia="en-GB"/>
              </w:rPr>
            </w:pPr>
            <w:r w:rsidRPr="000A5D51">
              <w:rPr>
                <w:bCs/>
                <w:sz w:val="20"/>
                <w:szCs w:val="20"/>
                <w:lang w:eastAsia="en-GB"/>
              </w:rPr>
              <w:t>(47)</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0"/>
              <w:rPr>
                <w:bCs/>
                <w:sz w:val="16"/>
                <w:szCs w:val="16"/>
                <w:lang w:eastAsia="en-GB"/>
              </w:rPr>
            </w:pPr>
            <w:r w:rsidRPr="000A5D51">
              <w:rPr>
                <w:bCs/>
                <w:sz w:val="16"/>
                <w:szCs w:val="16"/>
                <w:lang w:eastAsia="en-GB"/>
              </w:rPr>
              <w:t>£53k from Appliance bay floors &amp; £47k to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For</w:t>
            </w:r>
            <w:r>
              <w:rPr>
                <w:bCs/>
                <w:sz w:val="20"/>
                <w:szCs w:val="20"/>
                <w:lang w:eastAsia="en-GB"/>
              </w:rPr>
              <w:t>ecourts/Rear yards refurb</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450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450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450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Development costs</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250</w:t>
            </w:r>
          </w:p>
        </w:tc>
        <w:tc>
          <w:tcPr>
            <w:tcW w:w="54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156</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(94)</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233</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(77)</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16"/>
                <w:szCs w:val="16"/>
                <w:lang w:eastAsia="en-GB"/>
              </w:rPr>
            </w:pPr>
            <w:r w:rsidRPr="000A5D51">
              <w:rPr>
                <w:bCs/>
                <w:sz w:val="16"/>
                <w:szCs w:val="16"/>
                <w:lang w:eastAsia="en-GB"/>
              </w:rPr>
              <w:t>Budget Savings</w:t>
            </w:r>
          </w:p>
        </w:tc>
      </w:tr>
      <w:tr w:rsidR="00760319" w:rsidRPr="000A5D51" w:rsidTr="00B40D9E">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760319" w:rsidRPr="000A5D51" w:rsidRDefault="00760319" w:rsidP="00173447">
            <w:pPr>
              <w:spacing w:before="40" w:after="40"/>
              <w:rPr>
                <w:bCs/>
                <w:sz w:val="20"/>
                <w:szCs w:val="20"/>
                <w:lang w:eastAsia="en-GB"/>
              </w:rPr>
            </w:pPr>
            <w:r w:rsidRPr="000A5D51">
              <w:rPr>
                <w:b/>
                <w:bCs/>
                <w:sz w:val="20"/>
                <w:szCs w:val="20"/>
                <w:lang w:eastAsia="en-GB"/>
              </w:rPr>
              <w:t>ESTATE PROJECTS</w:t>
            </w:r>
          </w:p>
        </w:tc>
        <w:tc>
          <w:tcPr>
            <w:tcW w:w="51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9,440</w:t>
            </w:r>
          </w:p>
        </w:tc>
        <w:tc>
          <w:tcPr>
            <w:tcW w:w="54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5,891</w:t>
            </w:r>
          </w:p>
        </w:tc>
        <w:tc>
          <w:tcPr>
            <w:tcW w:w="47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(3,549)</w:t>
            </w: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Cs/>
                <w:sz w:val="20"/>
                <w:szCs w:val="20"/>
                <w:highlight w:val="yellow"/>
                <w:lang w:eastAsia="en-GB"/>
              </w:rPr>
            </w:pPr>
            <w:r w:rsidRPr="000A5D51">
              <w:rPr>
                <w:b/>
                <w:bCs/>
                <w:sz w:val="20"/>
                <w:szCs w:val="20"/>
                <w:lang w:eastAsia="en-GB"/>
              </w:rPr>
              <w:t>6,458</w:t>
            </w:r>
          </w:p>
        </w:tc>
        <w:tc>
          <w:tcPr>
            <w:tcW w:w="47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highlight w:val="yellow"/>
                <w:lang w:eastAsia="en-GB"/>
              </w:rPr>
            </w:pPr>
            <w:r w:rsidRPr="000A5D51">
              <w:rPr>
                <w:b/>
                <w:bCs/>
                <w:sz w:val="20"/>
                <w:szCs w:val="20"/>
                <w:lang w:eastAsia="en-GB"/>
              </w:rPr>
              <w:t>(567)</w:t>
            </w:r>
          </w:p>
        </w:tc>
        <w:tc>
          <w:tcPr>
            <w:tcW w:w="89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rPr>
                <w:bCs/>
                <w:sz w:val="20"/>
                <w:szCs w:val="20"/>
                <w:highlight w:val="yellow"/>
                <w:lang w:eastAsia="en-GB"/>
              </w:rPr>
            </w:pPr>
          </w:p>
        </w:tc>
      </w:tr>
      <w:tr w:rsidR="00760319" w:rsidRPr="000A5D51" w:rsidTr="00B40D9E">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
                <w:bCs/>
                <w:sz w:val="20"/>
                <w:szCs w:val="20"/>
                <w:lang w:eastAsia="en-GB"/>
              </w:rPr>
            </w:pPr>
            <w:r w:rsidRPr="000A5D51">
              <w:rPr>
                <w:b/>
                <w:bCs/>
                <w:sz w:val="20"/>
                <w:szCs w:val="20"/>
                <w:lang w:eastAsia="en-GB"/>
              </w:rPr>
              <w:t>OTHER</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
                <w:bCs/>
                <w:sz w:val="20"/>
                <w:szCs w:val="20"/>
                <w:lang w:eastAsia="en-GB"/>
              </w:rPr>
            </w:pPr>
            <w:r w:rsidRPr="000A5D51">
              <w:rPr>
                <w:bCs/>
                <w:sz w:val="20"/>
                <w:szCs w:val="20"/>
                <w:lang w:eastAsia="en-GB"/>
              </w:rPr>
              <w:t xml:space="preserve">Replacement of Fleet &amp; Equipment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11,884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15,490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3,606</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12,441</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3,049</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20"/>
                <w:szCs w:val="20"/>
                <w:lang w:eastAsia="en-GB"/>
              </w:rPr>
            </w:pPr>
            <w:r w:rsidRPr="000A5D51">
              <w:rPr>
                <w:bCs/>
                <w:sz w:val="20"/>
                <w:szCs w:val="20"/>
                <w:lang w:eastAsia="en-GB"/>
              </w:rPr>
              <w:t>From 2018/19</w:t>
            </w: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
                <w:bCs/>
                <w:sz w:val="20"/>
                <w:szCs w:val="20"/>
                <w:lang w:eastAsia="en-GB"/>
              </w:rPr>
            </w:pPr>
            <w:r w:rsidRPr="000A5D51">
              <w:rPr>
                <w:bCs/>
                <w:sz w:val="20"/>
                <w:szCs w:val="20"/>
                <w:lang w:eastAsia="en-GB"/>
              </w:rPr>
              <w:t>Establishing a London Co-ordination Centre at HQ</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111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111</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111</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20"/>
                <w:szCs w:val="20"/>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
                <w:bCs/>
                <w:sz w:val="20"/>
                <w:szCs w:val="20"/>
                <w:lang w:eastAsia="en-GB"/>
              </w:rPr>
            </w:pPr>
            <w:r w:rsidRPr="000A5D51">
              <w:rPr>
                <w:bCs/>
                <w:sz w:val="20"/>
                <w:szCs w:val="20"/>
                <w:lang w:eastAsia="en-GB"/>
              </w:rPr>
              <w:t>Data transfer system for Joint Emergency Services Interoperability Programme</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266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266</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266</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20"/>
                <w:szCs w:val="20"/>
                <w:lang w:eastAsia="en-GB"/>
              </w:rPr>
            </w:pPr>
          </w:p>
        </w:tc>
      </w:tr>
      <w:tr w:rsidR="00760319" w:rsidRPr="000A5D51" w:rsidTr="00173447">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uto"/>
            <w:noWrap/>
          </w:tcPr>
          <w:p w:rsidR="00760319" w:rsidRPr="000A5D51" w:rsidRDefault="00760319" w:rsidP="00173447">
            <w:pPr>
              <w:spacing w:before="40" w:after="40"/>
              <w:rPr>
                <w:bCs/>
                <w:sz w:val="20"/>
                <w:szCs w:val="20"/>
                <w:lang w:eastAsia="en-GB"/>
              </w:rPr>
            </w:pPr>
            <w:r w:rsidRPr="000A5D51">
              <w:rPr>
                <w:bCs/>
                <w:sz w:val="20"/>
                <w:szCs w:val="20"/>
                <w:lang w:eastAsia="en-GB"/>
              </w:rPr>
              <w:t xml:space="preserve">Fire Initial Response Equipment (F.I.R.E.)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24</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24</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rPr>
                <w:bCs/>
                <w:sz w:val="20"/>
                <w:szCs w:val="20"/>
                <w:lang w:eastAsia="en-GB"/>
              </w:rPr>
            </w:pP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60319" w:rsidRPr="000A5D51" w:rsidRDefault="00760319" w:rsidP="00173447">
            <w:pPr>
              <w:spacing w:before="40" w:after="40"/>
              <w:rPr>
                <w:b/>
                <w:bCs/>
                <w:sz w:val="20"/>
                <w:szCs w:val="20"/>
                <w:lang w:eastAsia="en-GB"/>
              </w:rPr>
            </w:pPr>
            <w:r w:rsidRPr="000A5D51">
              <w:rPr>
                <w:b/>
                <w:bCs/>
                <w:sz w:val="20"/>
                <w:szCs w:val="20"/>
                <w:lang w:eastAsia="en-GB"/>
              </w:rPr>
              <w:t>OTHER</w:t>
            </w:r>
          </w:p>
        </w:tc>
        <w:tc>
          <w:tcPr>
            <w:tcW w:w="5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0319" w:rsidRPr="000A5D51" w:rsidRDefault="00760319" w:rsidP="00173447">
            <w:pPr>
              <w:spacing w:before="40" w:after="40"/>
              <w:jc w:val="right"/>
              <w:rPr>
                <w:b/>
                <w:bCs/>
                <w:sz w:val="20"/>
                <w:szCs w:val="20"/>
                <w:lang w:eastAsia="en-GB"/>
              </w:rPr>
            </w:pPr>
            <w:r w:rsidRPr="000A5D51">
              <w:rPr>
                <w:b/>
                <w:bCs/>
                <w:sz w:val="20"/>
                <w:szCs w:val="20"/>
                <w:lang w:eastAsia="en-GB"/>
              </w:rPr>
              <w:t>12,285</w:t>
            </w:r>
          </w:p>
        </w:tc>
        <w:tc>
          <w:tcPr>
            <w:tcW w:w="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0319" w:rsidRPr="000A5D51" w:rsidRDefault="00760319" w:rsidP="00173447">
            <w:pPr>
              <w:spacing w:before="40" w:after="40"/>
              <w:jc w:val="right"/>
              <w:rPr>
                <w:b/>
                <w:bCs/>
                <w:sz w:val="20"/>
                <w:szCs w:val="20"/>
                <w:lang w:eastAsia="en-GB"/>
              </w:rPr>
            </w:pPr>
            <w:r w:rsidRPr="000A5D51">
              <w:rPr>
                <w:b/>
                <w:bCs/>
                <w:sz w:val="20"/>
                <w:szCs w:val="20"/>
                <w:lang w:eastAsia="en-GB"/>
              </w:rPr>
              <w:t>15,891</w:t>
            </w:r>
          </w:p>
        </w:tc>
        <w:tc>
          <w:tcPr>
            <w:tcW w:w="47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0319" w:rsidRPr="000A5D51" w:rsidRDefault="00760319" w:rsidP="00173447">
            <w:pPr>
              <w:spacing w:before="40" w:after="40"/>
              <w:jc w:val="right"/>
              <w:rPr>
                <w:b/>
                <w:bCs/>
                <w:sz w:val="20"/>
                <w:szCs w:val="20"/>
                <w:lang w:eastAsia="en-GB"/>
              </w:rPr>
            </w:pPr>
            <w:r w:rsidRPr="000A5D51">
              <w:rPr>
                <w:b/>
                <w:bCs/>
                <w:sz w:val="20"/>
                <w:szCs w:val="20"/>
                <w:lang w:eastAsia="en-GB"/>
              </w:rPr>
              <w:t>3,606</w:t>
            </w:r>
          </w:p>
        </w:tc>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0319" w:rsidRPr="000A5D51" w:rsidRDefault="00760319" w:rsidP="00173447">
            <w:pPr>
              <w:spacing w:before="40" w:after="40"/>
              <w:jc w:val="right"/>
              <w:rPr>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0319" w:rsidRPr="000A5D51" w:rsidRDefault="00760319" w:rsidP="00173447">
            <w:pPr>
              <w:spacing w:before="40" w:after="40"/>
              <w:jc w:val="right"/>
              <w:rPr>
                <w:bCs/>
                <w:sz w:val="20"/>
                <w:szCs w:val="20"/>
                <w:lang w:eastAsia="en-GB"/>
              </w:rPr>
            </w:pPr>
            <w:r w:rsidRPr="000A5D51">
              <w:rPr>
                <w:b/>
                <w:bCs/>
                <w:sz w:val="20"/>
                <w:szCs w:val="20"/>
                <w:lang w:eastAsia="en-GB"/>
              </w:rPr>
              <w:t>12,842</w:t>
            </w:r>
          </w:p>
        </w:tc>
        <w:tc>
          <w:tcPr>
            <w:tcW w:w="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0319" w:rsidRPr="000A5D51" w:rsidRDefault="00760319" w:rsidP="00173447">
            <w:pPr>
              <w:spacing w:before="40" w:after="40"/>
              <w:jc w:val="right"/>
              <w:rPr>
                <w:b/>
                <w:bCs/>
                <w:sz w:val="20"/>
                <w:szCs w:val="20"/>
                <w:lang w:eastAsia="en-GB"/>
              </w:rPr>
            </w:pPr>
            <w:r w:rsidRPr="000A5D51">
              <w:rPr>
                <w:b/>
                <w:bCs/>
                <w:sz w:val="20"/>
                <w:szCs w:val="20"/>
                <w:lang w:eastAsia="en-GB"/>
              </w:rPr>
              <w:t>3,049</w:t>
            </w:r>
          </w:p>
        </w:tc>
        <w:tc>
          <w:tcPr>
            <w:tcW w:w="8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0319" w:rsidRPr="000A5D51" w:rsidRDefault="00760319" w:rsidP="00173447">
            <w:pPr>
              <w:spacing w:before="40" w:after="40"/>
              <w:rPr>
                <w:b/>
                <w:bCs/>
                <w:sz w:val="20"/>
                <w:szCs w:val="20"/>
                <w:lang w:eastAsia="en-GB"/>
              </w:rPr>
            </w:pPr>
          </w:p>
        </w:tc>
      </w:tr>
      <w:tr w:rsidR="00760319" w:rsidRPr="000A5D51" w:rsidTr="00B40D9E">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
                <w:bCs/>
                <w:sz w:val="20"/>
                <w:szCs w:val="20"/>
                <w:lang w:eastAsia="en-GB"/>
              </w:rPr>
            </w:pPr>
            <w:r w:rsidRPr="000A5D51">
              <w:rPr>
                <w:b/>
                <w:bCs/>
                <w:sz w:val="20"/>
                <w:szCs w:val="20"/>
                <w:lang w:eastAsia="en-GB"/>
              </w:rPr>
              <w:t xml:space="preserve">New Proposed Projects </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16"/>
                <w:szCs w:val="16"/>
                <w:lang w:eastAsia="en-GB"/>
              </w:rPr>
            </w:pP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Early Replacement of ALP &amp; HP*</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1,800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(1,800)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r w:rsidRPr="000A5D51">
              <w:rPr>
                <w:bCs/>
                <w:sz w:val="20"/>
                <w:szCs w:val="20"/>
                <w:lang w:eastAsia="en-GB"/>
              </w:rPr>
              <w:t>To 2018/19</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CCTV on Pumping Appliances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405</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405</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after="40"/>
              <w:rPr>
                <w:bCs/>
                <w:sz w:val="20"/>
                <w:szCs w:val="20"/>
                <w:lang w:eastAsia="en-GB"/>
              </w:rPr>
            </w:pPr>
            <w:r w:rsidRPr="000A5D51">
              <w:rPr>
                <w:bCs/>
                <w:sz w:val="20"/>
                <w:szCs w:val="20"/>
                <w:lang w:eastAsia="en-GB"/>
              </w:rPr>
              <w:t>Asset Management Plan</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line="240" w:lineRule="auto"/>
              <w:jc w:val="right"/>
              <w:rPr>
                <w:bCs/>
                <w:sz w:val="20"/>
                <w:szCs w:val="20"/>
                <w:lang w:eastAsia="en-GB"/>
              </w:rPr>
            </w:pPr>
            <w:r w:rsidRPr="000A5D51">
              <w:rPr>
                <w:bCs/>
                <w:sz w:val="20"/>
                <w:szCs w:val="20"/>
                <w:lang w:eastAsia="en-GB"/>
              </w:rPr>
              <w:t>200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after="0" w:line="240" w:lineRule="auto"/>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line="240" w:lineRule="auto"/>
              <w:jc w:val="right"/>
              <w:rPr>
                <w:bCs/>
                <w:sz w:val="20"/>
                <w:szCs w:val="20"/>
                <w:lang w:eastAsia="en-GB"/>
              </w:rPr>
            </w:pPr>
            <w:r w:rsidRPr="000A5D51">
              <w:rPr>
                <w:bCs/>
                <w:sz w:val="20"/>
                <w:szCs w:val="20"/>
                <w:lang w:eastAsia="en-GB"/>
              </w:rPr>
              <w:t>(200)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after="40"/>
              <w:rPr>
                <w:bCs/>
                <w:sz w:val="20"/>
                <w:szCs w:val="20"/>
                <w:lang w:eastAsia="en-GB"/>
              </w:rPr>
            </w:pPr>
            <w:r w:rsidRPr="000A5D51">
              <w:rPr>
                <w:bCs/>
                <w:sz w:val="20"/>
                <w:szCs w:val="20"/>
                <w:lang w:eastAsia="en-GB"/>
              </w:rPr>
              <w:t>Savings £200k</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after="40"/>
              <w:rPr>
                <w:bCs/>
                <w:sz w:val="20"/>
                <w:szCs w:val="20"/>
                <w:lang w:eastAsia="en-GB"/>
              </w:rPr>
            </w:pPr>
            <w:r w:rsidRPr="000A5D51">
              <w:rPr>
                <w:bCs/>
                <w:sz w:val="20"/>
                <w:szCs w:val="20"/>
                <w:lang w:eastAsia="en-GB"/>
              </w:rPr>
              <w:t>West Hampstead Cottages Refurb</w:t>
            </w:r>
            <w:r>
              <w:rPr>
                <w:bCs/>
                <w:sz w:val="20"/>
                <w:szCs w:val="20"/>
                <w:lang w:eastAsia="en-GB"/>
              </w:rPr>
              <w:t>ishment</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line="240" w:lineRule="auto"/>
              <w:jc w:val="right"/>
              <w:rPr>
                <w:bCs/>
                <w:sz w:val="20"/>
                <w:szCs w:val="20"/>
                <w:lang w:eastAsia="en-GB"/>
              </w:rPr>
            </w:pPr>
            <w:r w:rsidRPr="000A5D51">
              <w:rPr>
                <w:bCs/>
                <w:sz w:val="20"/>
                <w:szCs w:val="20"/>
                <w:lang w:eastAsia="en-GB"/>
              </w:rPr>
              <w:t>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after="0" w:line="240" w:lineRule="auto"/>
              <w:jc w:val="right"/>
              <w:rPr>
                <w:bCs/>
                <w:sz w:val="20"/>
                <w:szCs w:val="20"/>
                <w:lang w:eastAsia="en-GB"/>
              </w:rPr>
            </w:pPr>
            <w:r w:rsidRPr="000A5D51">
              <w:rPr>
                <w:bCs/>
                <w:sz w:val="20"/>
                <w:szCs w:val="20"/>
                <w:lang w:eastAsia="en-GB"/>
              </w:rPr>
              <w:t>20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line="240" w:lineRule="auto"/>
              <w:jc w:val="right"/>
              <w:rPr>
                <w:bCs/>
                <w:sz w:val="20"/>
                <w:szCs w:val="20"/>
                <w:lang w:eastAsia="en-GB"/>
              </w:rPr>
            </w:pPr>
            <w:r w:rsidRPr="000A5D51">
              <w:rPr>
                <w:bCs/>
                <w:sz w:val="20"/>
                <w:szCs w:val="20"/>
                <w:lang w:eastAsia="en-GB"/>
              </w:rPr>
              <w:t>20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jc w:val="right"/>
              <w:rPr>
                <w:bCs/>
                <w:sz w:val="20"/>
                <w:szCs w:val="20"/>
                <w:lang w:eastAsia="en-GB"/>
              </w:rPr>
            </w:pPr>
            <w:r w:rsidRPr="000A5D51">
              <w:rPr>
                <w:bCs/>
                <w:sz w:val="20"/>
                <w:szCs w:val="20"/>
                <w:lang w:eastAsia="en-GB"/>
              </w:rPr>
              <w:t>20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after="40"/>
              <w:rPr>
                <w:bCs/>
                <w:sz w:val="20"/>
                <w:szCs w:val="20"/>
                <w:lang w:eastAsia="en-GB"/>
              </w:rPr>
            </w:pPr>
            <w:r w:rsidRPr="000A5D51">
              <w:rPr>
                <w:bCs/>
                <w:sz w:val="20"/>
                <w:szCs w:val="20"/>
                <w:lang w:eastAsia="en-GB"/>
              </w:rPr>
              <w:t>FEP2776</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Farynor Replacement</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425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50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(375)</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50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r w:rsidRPr="000A5D51">
              <w:rPr>
                <w:bCs/>
                <w:sz w:val="20"/>
                <w:szCs w:val="20"/>
                <w:lang w:eastAsia="en-GB"/>
              </w:rPr>
              <w:t>To 2018/19</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Security at Fire Stations, Offices &amp; HQ</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200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(200)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r w:rsidRPr="000A5D51">
              <w:rPr>
                <w:bCs/>
                <w:sz w:val="20"/>
                <w:szCs w:val="20"/>
                <w:lang w:eastAsia="en-GB"/>
              </w:rPr>
              <w:t>To 2018/19</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Performance Management Sys</w:t>
            </w:r>
            <w:r>
              <w:rPr>
                <w:bCs/>
                <w:sz w:val="20"/>
                <w:szCs w:val="20"/>
                <w:lang w:eastAsia="en-GB"/>
              </w:rPr>
              <w:t>tem</w:t>
            </w:r>
            <w:r w:rsidRPr="000A5D51">
              <w:rPr>
                <w:bCs/>
                <w:sz w:val="20"/>
                <w:szCs w:val="20"/>
                <w:lang w:eastAsia="en-GB"/>
              </w:rPr>
              <w:t xml:space="preserve"> (PMF)</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190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(190)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r w:rsidRPr="000A5D51">
              <w:rPr>
                <w:bCs/>
                <w:sz w:val="20"/>
                <w:szCs w:val="20"/>
                <w:lang w:eastAsia="en-GB"/>
              </w:rPr>
              <w:t>To 2018/19</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New Training Centre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478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397</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(82)</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302</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95</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r w:rsidRPr="000A5D51">
              <w:rPr>
                <w:bCs/>
                <w:sz w:val="20"/>
                <w:szCs w:val="20"/>
                <w:lang w:eastAsia="en-GB"/>
              </w:rPr>
              <w:t>From 2018/19</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PEG/BDC Development</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3,750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340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(3,410)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340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r w:rsidRPr="000A5D51">
              <w:rPr>
                <w:bCs/>
                <w:sz w:val="20"/>
                <w:szCs w:val="20"/>
                <w:lang w:eastAsia="en-GB"/>
              </w:rPr>
              <w:t>Budget Saving</w:t>
            </w: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22mm Water Hose and Reel for Appliances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1,500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1,500</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1,500</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Cs/>
                <w:sz w:val="20"/>
                <w:szCs w:val="20"/>
                <w:lang w:eastAsia="en-GB"/>
              </w:rPr>
            </w:pPr>
            <w:r w:rsidRPr="000A5D51">
              <w:rPr>
                <w:bCs/>
                <w:sz w:val="20"/>
                <w:szCs w:val="20"/>
                <w:lang w:eastAsia="en-GB"/>
              </w:rPr>
              <w:t>Vehicle Security *</w:t>
            </w:r>
          </w:p>
        </w:tc>
        <w:tc>
          <w:tcPr>
            <w:tcW w:w="514"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1,389</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1,389</w:t>
            </w:r>
          </w:p>
        </w:tc>
        <w:tc>
          <w:tcPr>
            <w:tcW w:w="47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1,389</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Cs/>
                <w:sz w:val="20"/>
                <w:szCs w:val="20"/>
                <w:lang w:eastAsia="en-GB"/>
              </w:rPr>
            </w:pPr>
          </w:p>
        </w:tc>
      </w:tr>
      <w:tr w:rsidR="00760319" w:rsidRPr="000A5D51" w:rsidTr="00B40D9E">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760319" w:rsidRPr="000A5D51" w:rsidRDefault="00760319" w:rsidP="00173447">
            <w:pPr>
              <w:spacing w:before="40" w:after="40"/>
              <w:rPr>
                <w:b/>
                <w:bCs/>
                <w:sz w:val="20"/>
                <w:szCs w:val="20"/>
                <w:lang w:eastAsia="en-GB"/>
              </w:rPr>
            </w:pPr>
            <w:r w:rsidRPr="000A5D51">
              <w:rPr>
                <w:b/>
                <w:bCs/>
                <w:sz w:val="20"/>
                <w:szCs w:val="20"/>
                <w:lang w:eastAsia="en-GB"/>
              </w:rPr>
              <w:t>New Projects TOTAL</w:t>
            </w:r>
          </w:p>
        </w:tc>
        <w:tc>
          <w:tcPr>
            <w:tcW w:w="51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10,337</w:t>
            </w:r>
          </w:p>
        </w:tc>
        <w:tc>
          <w:tcPr>
            <w:tcW w:w="54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4,101</w:t>
            </w:r>
          </w:p>
        </w:tc>
        <w:tc>
          <w:tcPr>
            <w:tcW w:w="47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(6,236)</w:t>
            </w: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4,006</w:t>
            </w:r>
          </w:p>
        </w:tc>
        <w:tc>
          <w:tcPr>
            <w:tcW w:w="47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95</w:t>
            </w:r>
          </w:p>
        </w:tc>
        <w:tc>
          <w:tcPr>
            <w:tcW w:w="89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rPr>
                <w:b/>
                <w:bCs/>
                <w:sz w:val="20"/>
                <w:szCs w:val="20"/>
                <w:lang w:eastAsia="en-GB"/>
              </w:rPr>
            </w:pPr>
          </w:p>
        </w:tc>
      </w:tr>
      <w:tr w:rsidR="00760319" w:rsidRPr="000A5D51" w:rsidTr="00173447">
        <w:trPr>
          <w:cantSplit/>
          <w:trHeight w:val="71"/>
        </w:trPr>
        <w:tc>
          <w:tcPr>
            <w:tcW w:w="1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319" w:rsidRPr="000A5D51" w:rsidRDefault="00760319" w:rsidP="00173447">
            <w:pPr>
              <w:spacing w:before="40" w:after="40"/>
              <w:rPr>
                <w:b/>
                <w:bCs/>
                <w:sz w:val="20"/>
                <w:szCs w:val="20"/>
                <w:lang w:eastAsia="en-GB"/>
              </w:rPr>
            </w:pPr>
            <w:r w:rsidRPr="000A5D51">
              <w:rPr>
                <w:bCs/>
                <w:sz w:val="20"/>
                <w:szCs w:val="20"/>
                <w:lang w:eastAsia="en-GB"/>
              </w:rPr>
              <w:t>Projected Underspend</w:t>
            </w:r>
          </w:p>
        </w:tc>
        <w:tc>
          <w:tcPr>
            <w:tcW w:w="514"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r w:rsidRPr="000A5D51">
              <w:rPr>
                <w:bCs/>
                <w:sz w:val="20"/>
                <w:szCs w:val="20"/>
                <w:lang w:eastAsia="en-GB"/>
              </w:rPr>
              <w:t>(6,686)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
                <w:bCs/>
                <w:sz w:val="20"/>
                <w:szCs w:val="20"/>
                <w:lang w:eastAsia="en-GB"/>
              </w:rPr>
            </w:pPr>
            <w:r w:rsidRPr="000A5D51">
              <w:rPr>
                <w:bCs/>
                <w:sz w:val="20"/>
                <w:szCs w:val="20"/>
                <w:lang w:eastAsia="en-GB"/>
              </w:rPr>
              <w:t>(6,686)</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138"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
                <w:bCs/>
                <w:sz w:val="20"/>
                <w:szCs w:val="20"/>
                <w:lang w:eastAsia="en-GB"/>
              </w:rPr>
            </w:pPr>
            <w:r w:rsidRPr="000A5D51">
              <w:rPr>
                <w:bCs/>
                <w:sz w:val="20"/>
                <w:szCs w:val="20"/>
                <w:lang w:eastAsia="en-GB"/>
              </w:rPr>
              <w:t>(6,686)</w:t>
            </w:r>
          </w:p>
        </w:tc>
        <w:tc>
          <w:tcPr>
            <w:tcW w:w="479" w:type="pct"/>
            <w:tcBorders>
              <w:top w:val="single" w:sz="4" w:space="0" w:color="auto"/>
              <w:left w:val="single" w:sz="4" w:space="0" w:color="auto"/>
              <w:bottom w:val="single" w:sz="4" w:space="0" w:color="auto"/>
              <w:right w:val="single" w:sz="4" w:space="0" w:color="auto"/>
            </w:tcBorders>
          </w:tcPr>
          <w:p w:rsidR="00760319" w:rsidRPr="000A5D51" w:rsidRDefault="00760319" w:rsidP="00173447">
            <w:pPr>
              <w:spacing w:before="40" w:after="40"/>
              <w:jc w:val="right"/>
              <w:rPr>
                <w:bCs/>
                <w:sz w:val="20"/>
                <w:szCs w:val="20"/>
                <w:lang w:eastAsia="en-GB"/>
              </w:rPr>
            </w:pPr>
            <w:r w:rsidRPr="000A5D51">
              <w:rPr>
                <w:bCs/>
                <w:sz w:val="20"/>
                <w:szCs w:val="20"/>
                <w:lang w:eastAsia="en-GB"/>
              </w:rPr>
              <w:t>0</w:t>
            </w: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760319" w:rsidRPr="000A5D51" w:rsidRDefault="00760319" w:rsidP="00173447">
            <w:pPr>
              <w:spacing w:before="40" w:after="40"/>
              <w:rPr>
                <w:b/>
                <w:bCs/>
                <w:sz w:val="20"/>
                <w:szCs w:val="20"/>
                <w:lang w:eastAsia="en-GB"/>
              </w:rPr>
            </w:pPr>
          </w:p>
        </w:tc>
      </w:tr>
      <w:tr w:rsidR="00760319" w:rsidRPr="000A5D51" w:rsidTr="00B40D9E">
        <w:trPr>
          <w:cantSplit/>
          <w:trHeight w:val="19"/>
        </w:trPr>
        <w:tc>
          <w:tcPr>
            <w:tcW w:w="140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760319" w:rsidRPr="000A5D51" w:rsidRDefault="00760319" w:rsidP="00173447">
            <w:pPr>
              <w:spacing w:before="40" w:after="40"/>
              <w:rPr>
                <w:b/>
                <w:bCs/>
                <w:sz w:val="20"/>
                <w:szCs w:val="20"/>
                <w:lang w:eastAsia="en-GB"/>
              </w:rPr>
            </w:pPr>
            <w:r w:rsidRPr="000A5D51">
              <w:rPr>
                <w:b/>
                <w:bCs/>
                <w:sz w:val="20"/>
                <w:szCs w:val="20"/>
                <w:lang w:eastAsia="en-GB"/>
              </w:rPr>
              <w:t>CAPITAL EXPENDITURE TOTAL</w:t>
            </w:r>
          </w:p>
        </w:tc>
        <w:tc>
          <w:tcPr>
            <w:tcW w:w="51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29,146</w:t>
            </w:r>
          </w:p>
        </w:tc>
        <w:tc>
          <w:tcPr>
            <w:tcW w:w="54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20,344</w:t>
            </w:r>
          </w:p>
        </w:tc>
        <w:tc>
          <w:tcPr>
            <w:tcW w:w="47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(8,802)</w:t>
            </w: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Cs/>
                <w:sz w:val="20"/>
                <w:szCs w:val="20"/>
                <w:lang w:eastAsia="en-GB"/>
              </w:rPr>
            </w:pPr>
            <w:r w:rsidRPr="000A5D51">
              <w:rPr>
                <w:b/>
                <w:bCs/>
                <w:sz w:val="20"/>
                <w:szCs w:val="20"/>
                <w:lang w:eastAsia="en-GB"/>
              </w:rPr>
              <w:t>17,995</w:t>
            </w:r>
          </w:p>
        </w:tc>
        <w:tc>
          <w:tcPr>
            <w:tcW w:w="47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jc w:val="right"/>
              <w:rPr>
                <w:b/>
                <w:bCs/>
                <w:sz w:val="20"/>
                <w:szCs w:val="20"/>
                <w:lang w:eastAsia="en-GB"/>
              </w:rPr>
            </w:pPr>
            <w:r w:rsidRPr="000A5D51">
              <w:rPr>
                <w:b/>
                <w:bCs/>
                <w:sz w:val="20"/>
                <w:szCs w:val="20"/>
                <w:lang w:eastAsia="en-GB"/>
              </w:rPr>
              <w:t>2,349</w:t>
            </w:r>
          </w:p>
        </w:tc>
        <w:tc>
          <w:tcPr>
            <w:tcW w:w="89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60319" w:rsidRPr="000A5D51" w:rsidRDefault="00760319" w:rsidP="00173447">
            <w:pPr>
              <w:spacing w:before="40" w:after="40"/>
              <w:rPr>
                <w:bCs/>
                <w:sz w:val="20"/>
                <w:szCs w:val="20"/>
                <w:lang w:eastAsia="en-GB"/>
              </w:rPr>
            </w:pPr>
          </w:p>
        </w:tc>
      </w:tr>
    </w:tbl>
    <w:p w:rsidR="002226EF" w:rsidRDefault="002226EF" w:rsidP="00601246">
      <w:pPr>
        <w:sectPr w:rsidR="002226EF" w:rsidSect="00B45F73">
          <w:headerReference w:type="default" r:id="rId20"/>
          <w:pgSz w:w="11907" w:h="16840" w:code="9"/>
          <w:pgMar w:top="1252" w:right="1134" w:bottom="1134" w:left="1134" w:header="567" w:footer="454" w:gutter="0"/>
          <w:cols w:space="708"/>
          <w:docGrid w:linePitch="360"/>
        </w:sectPr>
      </w:pPr>
    </w:p>
    <w:p w:rsidR="005B3958" w:rsidRPr="006969D5" w:rsidRDefault="005B3958" w:rsidP="006969D5">
      <w:pPr>
        <w:pStyle w:val="ListParagraph"/>
        <w:numPr>
          <w:ilvl w:val="0"/>
          <w:numId w:val="60"/>
        </w:numPr>
        <w:spacing w:after="120" w:line="240" w:lineRule="auto"/>
        <w:ind w:left="567" w:hanging="567"/>
        <w:contextualSpacing w:val="0"/>
        <w:rPr>
          <w:sz w:val="24"/>
          <w:u w:val="single"/>
        </w:rPr>
      </w:pPr>
      <w:r w:rsidRPr="006969D5">
        <w:rPr>
          <w:sz w:val="24"/>
          <w:u w:val="single"/>
        </w:rPr>
        <w:t>Pay and Inflation</w:t>
      </w:r>
    </w:p>
    <w:p w:rsidR="00434283" w:rsidRPr="007E5D4C" w:rsidRDefault="00D55817" w:rsidP="00434283">
      <w:pPr>
        <w:pStyle w:val="ListParagraph"/>
        <w:numPr>
          <w:ilvl w:val="1"/>
          <w:numId w:val="60"/>
        </w:numPr>
        <w:spacing w:after="120" w:line="240" w:lineRule="auto"/>
        <w:ind w:left="567" w:hanging="567"/>
        <w:contextualSpacing w:val="0"/>
        <w:rPr>
          <w:sz w:val="24"/>
        </w:rPr>
      </w:pPr>
      <w:r w:rsidRPr="007E5D4C">
        <w:rPr>
          <w:sz w:val="24"/>
        </w:rPr>
        <w:t xml:space="preserve">The 2017/18 Budget includes a </w:t>
      </w:r>
      <w:r w:rsidR="005B3958" w:rsidRPr="007E5D4C">
        <w:rPr>
          <w:sz w:val="24"/>
        </w:rPr>
        <w:t xml:space="preserve">provision for a 1% pay award for all staff for 2017/18. </w:t>
      </w:r>
      <w:r w:rsidRPr="007E5D4C">
        <w:rPr>
          <w:sz w:val="24"/>
        </w:rPr>
        <w:t xml:space="preserve">This report </w:t>
      </w:r>
      <w:r w:rsidRPr="00AB4F82">
        <w:rPr>
          <w:sz w:val="24"/>
        </w:rPr>
        <w:t xml:space="preserve">includes a £1.5m pressure </w:t>
      </w:r>
      <w:r w:rsidR="00EC4A5E" w:rsidRPr="007E5D4C">
        <w:rPr>
          <w:sz w:val="24"/>
        </w:rPr>
        <w:t>based on the latest offer to operational and control staff</w:t>
      </w:r>
      <w:r w:rsidR="00DF7AB1" w:rsidRPr="007E5D4C">
        <w:rPr>
          <w:sz w:val="24"/>
        </w:rPr>
        <w:t xml:space="preserve">. </w:t>
      </w:r>
      <w:r w:rsidR="00434283" w:rsidRPr="007E5D4C">
        <w:rPr>
          <w:sz w:val="24"/>
        </w:rPr>
        <w:t xml:space="preserve">An initial award of 1% has now been paid </w:t>
      </w:r>
      <w:r w:rsidR="00EC4A5E" w:rsidRPr="007E5D4C">
        <w:rPr>
          <w:sz w:val="24"/>
        </w:rPr>
        <w:t xml:space="preserve">for operational and control </w:t>
      </w:r>
      <w:r w:rsidR="00434283" w:rsidRPr="007E5D4C">
        <w:rPr>
          <w:sz w:val="24"/>
        </w:rPr>
        <w:t xml:space="preserve">and </w:t>
      </w:r>
      <w:r w:rsidR="00DF7AB1" w:rsidRPr="007E5D4C">
        <w:rPr>
          <w:sz w:val="24"/>
        </w:rPr>
        <w:t xml:space="preserve">any additional award </w:t>
      </w:r>
      <w:r w:rsidR="00434283" w:rsidRPr="007E5D4C">
        <w:rPr>
          <w:sz w:val="24"/>
        </w:rPr>
        <w:t xml:space="preserve">above </w:t>
      </w:r>
      <w:r w:rsidR="00C25D35" w:rsidRPr="007E5D4C">
        <w:rPr>
          <w:sz w:val="24"/>
        </w:rPr>
        <w:t xml:space="preserve">the </w:t>
      </w:r>
      <w:r w:rsidR="00434283" w:rsidRPr="007E5D4C">
        <w:rPr>
          <w:sz w:val="24"/>
        </w:rPr>
        <w:t xml:space="preserve">2% </w:t>
      </w:r>
      <w:r w:rsidR="00C25D35" w:rsidRPr="007E5D4C">
        <w:rPr>
          <w:sz w:val="24"/>
        </w:rPr>
        <w:t xml:space="preserve">already offered </w:t>
      </w:r>
      <w:r w:rsidR="00DF7AB1" w:rsidRPr="007E5D4C">
        <w:rPr>
          <w:sz w:val="24"/>
        </w:rPr>
        <w:t>would further reduce the underspend.</w:t>
      </w:r>
      <w:r w:rsidR="00EC4A5E" w:rsidRPr="007E5D4C">
        <w:rPr>
          <w:sz w:val="24"/>
        </w:rPr>
        <w:t xml:space="preserve"> </w:t>
      </w:r>
      <w:r w:rsidR="007E5D4C">
        <w:rPr>
          <w:sz w:val="24"/>
        </w:rPr>
        <w:t>The FRS Pay claim has now been agreed and the financial impact reflected in this report.</w:t>
      </w:r>
    </w:p>
    <w:p w:rsidR="00E16145" w:rsidRPr="00C557AE" w:rsidRDefault="00E16145" w:rsidP="006969D5">
      <w:pPr>
        <w:pStyle w:val="ListParagraph"/>
        <w:numPr>
          <w:ilvl w:val="0"/>
          <w:numId w:val="60"/>
        </w:numPr>
        <w:spacing w:after="120" w:line="240" w:lineRule="auto"/>
        <w:ind w:left="567" w:hanging="567"/>
        <w:contextualSpacing w:val="0"/>
        <w:rPr>
          <w:sz w:val="24"/>
          <w:u w:val="single"/>
        </w:rPr>
      </w:pPr>
      <w:r w:rsidRPr="00C557AE">
        <w:rPr>
          <w:sz w:val="24"/>
          <w:u w:val="single"/>
        </w:rPr>
        <w:t>Changes to Income</w:t>
      </w:r>
    </w:p>
    <w:p w:rsidR="00E16145" w:rsidRPr="005C1C4F" w:rsidRDefault="00E16145" w:rsidP="00E16145">
      <w:pPr>
        <w:pStyle w:val="NumbList"/>
        <w:numPr>
          <w:ilvl w:val="1"/>
          <w:numId w:val="60"/>
        </w:numPr>
        <w:spacing w:after="120" w:line="240" w:lineRule="auto"/>
        <w:ind w:left="567" w:hanging="567"/>
        <w:rPr>
          <w:sz w:val="24"/>
        </w:rPr>
      </w:pPr>
      <w:r w:rsidRPr="005C1C4F">
        <w:rPr>
          <w:sz w:val="24"/>
        </w:rPr>
        <w:t xml:space="preserve">Both the cost recovery and expenditure budgets related to mutual assistance charges </w:t>
      </w:r>
      <w:r w:rsidR="00434283" w:rsidRPr="005C1C4F">
        <w:rPr>
          <w:sz w:val="24"/>
        </w:rPr>
        <w:t xml:space="preserve">have been </w:t>
      </w:r>
      <w:r w:rsidR="00434283" w:rsidRPr="00B5525D">
        <w:rPr>
          <w:sz w:val="24"/>
        </w:rPr>
        <w:t>re</w:t>
      </w:r>
      <w:r w:rsidRPr="00B5525D">
        <w:rPr>
          <w:sz w:val="24"/>
        </w:rPr>
        <w:t>viewed to ensure that th</w:t>
      </w:r>
      <w:r w:rsidR="00434283" w:rsidRPr="00B5525D">
        <w:rPr>
          <w:sz w:val="24"/>
        </w:rPr>
        <w:t>ey are as accurate as possible and a net forecast overspend of £</w:t>
      </w:r>
      <w:r w:rsidR="005C1C4F" w:rsidRPr="00B5525D">
        <w:rPr>
          <w:sz w:val="24"/>
        </w:rPr>
        <w:t>180</w:t>
      </w:r>
      <w:r w:rsidR="00434283" w:rsidRPr="00B5525D">
        <w:rPr>
          <w:sz w:val="24"/>
        </w:rPr>
        <w:t>k h</w:t>
      </w:r>
      <w:r w:rsidR="00434283" w:rsidRPr="005C1C4F">
        <w:rPr>
          <w:sz w:val="24"/>
        </w:rPr>
        <w:t>as been included in this report</w:t>
      </w:r>
      <w:r w:rsidR="005C1C4F">
        <w:rPr>
          <w:sz w:val="24"/>
        </w:rPr>
        <w:t xml:space="preserve"> and a budget pressure of £</w:t>
      </w:r>
      <w:r w:rsidR="00C66997">
        <w:rPr>
          <w:sz w:val="24"/>
        </w:rPr>
        <w:t xml:space="preserve">205k </w:t>
      </w:r>
      <w:r w:rsidR="005C1C4F">
        <w:rPr>
          <w:sz w:val="24"/>
        </w:rPr>
        <w:t>has been included in the 2018/19 budget report</w:t>
      </w:r>
      <w:r w:rsidR="00434283" w:rsidRPr="005C1C4F">
        <w:rPr>
          <w:sz w:val="24"/>
        </w:rPr>
        <w:t>. Th</w:t>
      </w:r>
      <w:r w:rsidR="00C66997">
        <w:rPr>
          <w:sz w:val="24"/>
        </w:rPr>
        <w:t>is</w:t>
      </w:r>
      <w:r w:rsidR="00434283" w:rsidRPr="005C1C4F">
        <w:rPr>
          <w:sz w:val="24"/>
        </w:rPr>
        <w:t xml:space="preserve"> forecast is based on the cost and number of incidents </w:t>
      </w:r>
      <w:r w:rsidR="005C1C4F">
        <w:rPr>
          <w:sz w:val="24"/>
        </w:rPr>
        <w:t>in 2016/17</w:t>
      </w:r>
      <w:r w:rsidR="00C66997">
        <w:rPr>
          <w:sz w:val="24"/>
        </w:rPr>
        <w:t xml:space="preserve">, and based on the number of incidents that have been attended in London by neighbouring brigades to the end of December this cost may increase further. </w:t>
      </w:r>
    </w:p>
    <w:p w:rsidR="00E16145" w:rsidRPr="00C557AE" w:rsidRDefault="00E16145" w:rsidP="006969D5">
      <w:pPr>
        <w:pStyle w:val="ListParagraph"/>
        <w:numPr>
          <w:ilvl w:val="0"/>
          <w:numId w:val="60"/>
        </w:numPr>
        <w:spacing w:after="120" w:line="240" w:lineRule="auto"/>
        <w:ind w:left="567" w:hanging="567"/>
        <w:contextualSpacing w:val="0"/>
        <w:rPr>
          <w:sz w:val="24"/>
          <w:u w:val="single"/>
        </w:rPr>
      </w:pPr>
      <w:r w:rsidRPr="00C557AE">
        <w:rPr>
          <w:sz w:val="24"/>
          <w:u w:val="single"/>
        </w:rPr>
        <w:t>Property Services</w:t>
      </w:r>
    </w:p>
    <w:p w:rsidR="00C25D35" w:rsidRDefault="00C25D35" w:rsidP="006B1F91">
      <w:pPr>
        <w:pStyle w:val="ListParagraph"/>
        <w:numPr>
          <w:ilvl w:val="1"/>
          <w:numId w:val="60"/>
        </w:numPr>
        <w:spacing w:after="120" w:line="240" w:lineRule="auto"/>
        <w:ind w:left="567" w:hanging="567"/>
        <w:contextualSpacing w:val="0"/>
        <w:rPr>
          <w:sz w:val="24"/>
        </w:rPr>
      </w:pPr>
      <w:r w:rsidRPr="006B1F91">
        <w:rPr>
          <w:sz w:val="24"/>
        </w:rPr>
        <w:t>The 2017/18 budget includes £630k of savings from the implementation of the Property Services Integrator, which includes an estimate of savings that can be achieved on LFEPA’s supply chain. This saving will be updated once the supply chain has been fully costed which is now anticipated to be in September 2018. The savings target is based on an average saving each year to meet the overall savings target agreed over the contract life.</w:t>
      </w:r>
      <w:r w:rsidR="00F31F35">
        <w:rPr>
          <w:sz w:val="24"/>
        </w:rPr>
        <w:t xml:space="preserve"> </w:t>
      </w:r>
      <w:r w:rsidRPr="006B1F91">
        <w:rPr>
          <w:sz w:val="24"/>
        </w:rPr>
        <w:t>It should be noted that a number of the supply chain contracts have already returned higher and the mechanical, electrical, plumbing and fabric contracts which are being tendered in January 2018 are not expected to deliver any savings. There is therefore a real risk that the estimated savings on the supply chain will not be achieved but this cannot be fully determined until all contracts are in place</w:t>
      </w:r>
      <w:r>
        <w:rPr>
          <w:sz w:val="24"/>
        </w:rPr>
        <w:t>.</w:t>
      </w:r>
    </w:p>
    <w:p w:rsidR="00E16145" w:rsidRPr="006B1F91" w:rsidRDefault="00C25D35" w:rsidP="006B1F91">
      <w:pPr>
        <w:pStyle w:val="ListParagraph"/>
        <w:numPr>
          <w:ilvl w:val="1"/>
          <w:numId w:val="60"/>
        </w:numPr>
        <w:spacing w:after="120" w:line="240" w:lineRule="auto"/>
        <w:ind w:left="567" w:hanging="567"/>
        <w:contextualSpacing w:val="0"/>
        <w:rPr>
          <w:sz w:val="24"/>
        </w:rPr>
      </w:pPr>
      <w:r w:rsidRPr="006B1F91">
        <w:rPr>
          <w:sz w:val="24"/>
        </w:rPr>
        <w:t>The saving proposals for 2017/18 included material savings for energy budgets. This budget has underspent in recent years, in part because of the prudent assumptions used when calculating the budget requirement. These additional savings will therefore set the budget at a less cautious level, and as a result this will increase the risk of overspends in subsequent years, for example because of a colder than average winter</w:t>
      </w:r>
      <w:r w:rsidR="002F304F" w:rsidRPr="006B1F91">
        <w:rPr>
          <w:iCs/>
          <w:sz w:val="24"/>
        </w:rPr>
        <w:t>.</w:t>
      </w:r>
    </w:p>
    <w:p w:rsidR="002755ED" w:rsidRPr="00C25D35" w:rsidRDefault="00CA027B" w:rsidP="006B1F91">
      <w:pPr>
        <w:pStyle w:val="NumbList"/>
        <w:numPr>
          <w:ilvl w:val="0"/>
          <w:numId w:val="60"/>
        </w:numPr>
        <w:spacing w:after="120" w:line="240" w:lineRule="auto"/>
        <w:ind w:left="567" w:hanging="567"/>
        <w:rPr>
          <w:sz w:val="24"/>
          <w:u w:val="single"/>
        </w:rPr>
      </w:pPr>
      <w:r w:rsidRPr="00C25D35">
        <w:rPr>
          <w:sz w:val="24"/>
          <w:u w:val="single"/>
        </w:rPr>
        <w:t xml:space="preserve">MDT Theft </w:t>
      </w:r>
    </w:p>
    <w:p w:rsidR="00E16145" w:rsidRPr="0081355F" w:rsidRDefault="0081355F" w:rsidP="002755ED">
      <w:pPr>
        <w:pStyle w:val="ListParagraph"/>
        <w:numPr>
          <w:ilvl w:val="1"/>
          <w:numId w:val="60"/>
        </w:numPr>
        <w:spacing w:after="120" w:line="240" w:lineRule="auto"/>
        <w:ind w:left="567" w:hanging="573"/>
        <w:contextualSpacing w:val="0"/>
        <w:rPr>
          <w:sz w:val="24"/>
          <w:u w:val="single"/>
        </w:rPr>
      </w:pPr>
      <w:r w:rsidRPr="0081355F">
        <w:rPr>
          <w:sz w:val="24"/>
        </w:rPr>
        <w:t xml:space="preserve">As previously reported, </w:t>
      </w:r>
      <w:r w:rsidR="00CA027B" w:rsidRPr="0081355F">
        <w:rPr>
          <w:sz w:val="24"/>
        </w:rPr>
        <w:t xml:space="preserve">spend on the stolen MDTs will be charged to revenue and would be offset by the insurance income. There is a risk that the claim would not meet the full cost and any difference resulting in additional overspend. </w:t>
      </w:r>
    </w:p>
    <w:p w:rsidR="005B3958" w:rsidRPr="00760319" w:rsidRDefault="005B3958" w:rsidP="006969D5">
      <w:pPr>
        <w:pStyle w:val="ListParagraph"/>
        <w:numPr>
          <w:ilvl w:val="0"/>
          <w:numId w:val="60"/>
        </w:numPr>
        <w:spacing w:after="120" w:line="240" w:lineRule="auto"/>
        <w:ind w:left="567" w:hanging="567"/>
        <w:contextualSpacing w:val="0"/>
        <w:rPr>
          <w:sz w:val="24"/>
          <w:u w:val="single"/>
        </w:rPr>
      </w:pPr>
      <w:r w:rsidRPr="00760319">
        <w:rPr>
          <w:sz w:val="24"/>
          <w:u w:val="single"/>
        </w:rPr>
        <w:t>Capital Expenditure and Financing</w:t>
      </w:r>
    </w:p>
    <w:p w:rsidR="005B3958" w:rsidRPr="00186335" w:rsidRDefault="005B3958" w:rsidP="006969D5">
      <w:pPr>
        <w:pStyle w:val="ListParagraph"/>
        <w:numPr>
          <w:ilvl w:val="1"/>
          <w:numId w:val="60"/>
        </w:numPr>
        <w:spacing w:after="120" w:line="240" w:lineRule="auto"/>
        <w:ind w:left="567" w:hanging="567"/>
        <w:contextualSpacing w:val="0"/>
        <w:rPr>
          <w:sz w:val="24"/>
        </w:rPr>
      </w:pPr>
      <w:r w:rsidRPr="00186335">
        <w:rPr>
          <w:sz w:val="24"/>
        </w:rPr>
        <w:t>The capital budget is subject to change during the year. Initial project specification is key as it is important to keep variations to projects to a minimum</w:t>
      </w:r>
      <w:r w:rsidR="0015750E" w:rsidRPr="00186335">
        <w:rPr>
          <w:sz w:val="24"/>
        </w:rPr>
        <w:t xml:space="preserve">. </w:t>
      </w:r>
      <w:r w:rsidRPr="00186335">
        <w:rPr>
          <w:sz w:val="24"/>
        </w:rPr>
        <w:t xml:space="preserve">However even a well managed project can be subject to re-phasing or deferral due to a number of unforeseen issues, such as failure or default on the part of the contractor or exceptionally adverse weather conditions. This can also impact on funding requirements which in turn may have a debt charge (cost of borrowing) revenue impact. </w:t>
      </w:r>
    </w:p>
    <w:p w:rsidR="005B3958" w:rsidRPr="00186335" w:rsidRDefault="005B3958" w:rsidP="006969D5">
      <w:pPr>
        <w:pStyle w:val="ListParagraph"/>
        <w:numPr>
          <w:ilvl w:val="1"/>
          <w:numId w:val="60"/>
        </w:numPr>
        <w:spacing w:after="120" w:line="240" w:lineRule="auto"/>
        <w:ind w:left="567" w:hanging="567"/>
        <w:contextualSpacing w:val="0"/>
        <w:rPr>
          <w:sz w:val="24"/>
        </w:rPr>
      </w:pPr>
      <w:r w:rsidRPr="00186335">
        <w:rPr>
          <w:sz w:val="24"/>
        </w:rPr>
        <w:t>All capital projects will require third party collaboration to varying degrees over the project life. The programme depends heavily on external factors and therefore can be subject to variation with the potential for delays in project delivery and revised cash flow requirements. The capital programme is managed on a monthly basis and is reported quarterly to the CAPS group (Capital, Approval, Planning and Strategy Group, chaired by the Director of Finance</w:t>
      </w:r>
      <w:r w:rsidR="003A72A8">
        <w:rPr>
          <w:sz w:val="24"/>
        </w:rPr>
        <w:t xml:space="preserve"> and</w:t>
      </w:r>
      <w:r w:rsidRPr="00186335">
        <w:rPr>
          <w:sz w:val="24"/>
        </w:rPr>
        <w:t xml:space="preserve"> Contractual Services) where all changes to the programme are reviewed and substitution projects or re-financing proposals are assessed and agreed.</w:t>
      </w:r>
    </w:p>
    <w:p w:rsidR="00D81987" w:rsidRPr="00186335" w:rsidRDefault="00D81987" w:rsidP="00D81987">
      <w:pPr>
        <w:pStyle w:val="ListParagraph"/>
        <w:numPr>
          <w:ilvl w:val="1"/>
          <w:numId w:val="60"/>
        </w:numPr>
        <w:spacing w:after="120" w:line="240" w:lineRule="auto"/>
        <w:ind w:left="567" w:hanging="567"/>
        <w:contextualSpacing w:val="0"/>
        <w:rPr>
          <w:sz w:val="24"/>
        </w:rPr>
      </w:pPr>
      <w:r w:rsidRPr="00186335">
        <w:rPr>
          <w:sz w:val="24"/>
        </w:rPr>
        <w:t>Discussions are continuing regarding the sale of the two former fire stations, Clerkenwell and Southwark, and as a result the forecast capital receipts for these sites have been deferred by a year to 2018/19. The capital financing costs have been updated to reflect the re-phasing of the capital receipts, although if these sales are delayed any further, the level of external capital financing will increase together with the associated debt charges.</w:t>
      </w:r>
      <w:r w:rsidR="003A72A8">
        <w:rPr>
          <w:sz w:val="24"/>
        </w:rPr>
        <w:t xml:space="preserve"> </w:t>
      </w:r>
      <w:r w:rsidRPr="00186335">
        <w:rPr>
          <w:sz w:val="24"/>
        </w:rPr>
        <w:t xml:space="preserve">This situation will continued to be monitored. </w:t>
      </w:r>
    </w:p>
    <w:p w:rsidR="005B3958" w:rsidRPr="00186335" w:rsidRDefault="005B3958" w:rsidP="00D81987">
      <w:pPr>
        <w:numPr>
          <w:ilvl w:val="1"/>
          <w:numId w:val="60"/>
        </w:numPr>
        <w:spacing w:after="120" w:line="240" w:lineRule="auto"/>
        <w:ind w:left="567" w:hanging="567"/>
        <w:rPr>
          <w:sz w:val="24"/>
        </w:rPr>
      </w:pPr>
      <w:r w:rsidRPr="00186335">
        <w:rPr>
          <w:sz w:val="24"/>
        </w:rPr>
        <w:t>The design</w:t>
      </w:r>
      <w:r w:rsidR="009607E8" w:rsidRPr="00186335">
        <w:rPr>
          <w:sz w:val="24"/>
        </w:rPr>
        <w:t>,</w:t>
      </w:r>
      <w:r w:rsidRPr="00186335">
        <w:rPr>
          <w:sz w:val="24"/>
        </w:rPr>
        <w:t xml:space="preserve"> specification </w:t>
      </w:r>
      <w:r w:rsidR="009607E8" w:rsidRPr="00186335">
        <w:rPr>
          <w:sz w:val="24"/>
        </w:rPr>
        <w:t xml:space="preserve">and build </w:t>
      </w:r>
      <w:r w:rsidRPr="00186335">
        <w:rPr>
          <w:sz w:val="24"/>
        </w:rPr>
        <w:t>of the replacement vehicles and equipment is now underway following the commencement of the new contract in November 2014. Key risks relate to the contractor sourcing appropriate vehicle build options within a timeframe that meets fleet replacement requirements and which may in turn impact the Authority’s cash flow.</w:t>
      </w:r>
      <w:r w:rsidR="00701CB6" w:rsidRPr="00186335">
        <w:rPr>
          <w:sz w:val="24"/>
        </w:rPr>
        <w:t xml:space="preserve"> The forecast cash expenditure </w:t>
      </w:r>
      <w:r w:rsidR="00C338AF" w:rsidRPr="00186335">
        <w:rPr>
          <w:sz w:val="24"/>
        </w:rPr>
        <w:t xml:space="preserve">for 2017/18 and future years </w:t>
      </w:r>
      <w:r w:rsidR="00701CB6" w:rsidRPr="00186335">
        <w:rPr>
          <w:sz w:val="24"/>
        </w:rPr>
        <w:t xml:space="preserve">is based on the current assessment of the stage payment requirements for the pump replacement programme which represents </w:t>
      </w:r>
      <w:r w:rsidR="009607E8" w:rsidRPr="00186335">
        <w:rPr>
          <w:sz w:val="24"/>
        </w:rPr>
        <w:t>about half</w:t>
      </w:r>
      <w:r w:rsidR="00701CB6" w:rsidRPr="00186335">
        <w:rPr>
          <w:sz w:val="24"/>
        </w:rPr>
        <w:t xml:space="preserve"> the forecast Vehicles and Equipment expenditure in that period and the delivery timings for the balance of the fleet replacement programme.</w:t>
      </w:r>
    </w:p>
    <w:p w:rsidR="005B3958" w:rsidRPr="00186335" w:rsidRDefault="00701CB6" w:rsidP="006969D5">
      <w:pPr>
        <w:numPr>
          <w:ilvl w:val="1"/>
          <w:numId w:val="60"/>
        </w:numPr>
        <w:spacing w:after="120" w:line="240" w:lineRule="auto"/>
        <w:ind w:left="567" w:hanging="567"/>
        <w:rPr>
          <w:sz w:val="24"/>
        </w:rPr>
      </w:pPr>
      <w:r w:rsidRPr="00186335">
        <w:rPr>
          <w:sz w:val="24"/>
        </w:rPr>
        <w:t xml:space="preserve">The Brigade successfully cutover to the Replacement Mobilising Solution (VISION4 mobilising system &amp; DS3000 ICCS) as planned on 17 November 2015. The legacy systems were decommissioned in January 2016 and there are a number of other work streams within the project that are still to be delivered. Update releases have been scheduled through 2017 and 2018 for this outstanding functionality. </w:t>
      </w:r>
      <w:r w:rsidR="00760319" w:rsidRPr="00186335">
        <w:rPr>
          <w:sz w:val="24"/>
        </w:rPr>
        <w:t>The status of this project is Blue as reported in FEP2782</w:t>
      </w:r>
    </w:p>
    <w:p w:rsidR="00170376" w:rsidRPr="00186335" w:rsidRDefault="00170376" w:rsidP="00B45F73">
      <w:pPr>
        <w:numPr>
          <w:ilvl w:val="1"/>
          <w:numId w:val="60"/>
        </w:numPr>
        <w:spacing w:after="120" w:line="240" w:lineRule="auto"/>
        <w:ind w:left="567" w:hanging="567"/>
        <w:rPr>
          <w:sz w:val="24"/>
        </w:rPr>
      </w:pPr>
      <w:r w:rsidRPr="00186335">
        <w:rPr>
          <w:sz w:val="24"/>
        </w:rPr>
        <w:t>The Asset Management Plan (2017) was approved in March 2017 (FEP2714), which has identified new priorities for investment over the next 5 years across the LFB estate, which includes fire station replacement, redevelopment and refurbishments which will enable the property portfolio to meet the needs of a 21st century fire service. It is difficult to source suitable new sites for purchase to replace those stations where investment to improve their condition or functionality is uneconomic, as the Authority  has to compete with other sectors, in particular residential development.  Initially a budget of £10m per annum was set aside to fund new developments as and when these opportunities arise.  Following a review of the programme, it was decided that the budgets for the works resulting from the asset management plan would be requested once the requirements for each project have been specified. Therefore £200k,has been identified as a saving for  2017/18 and the future capital budgets of £10m per annum have been removed from the capital programme.</w:t>
      </w:r>
    </w:p>
    <w:p w:rsidR="00760319" w:rsidRPr="00B5525D" w:rsidRDefault="00760319" w:rsidP="00186335">
      <w:pPr>
        <w:numPr>
          <w:ilvl w:val="1"/>
          <w:numId w:val="60"/>
        </w:numPr>
        <w:spacing w:after="120" w:line="240" w:lineRule="auto"/>
        <w:ind w:left="567" w:hanging="567"/>
        <w:rPr>
          <w:sz w:val="24"/>
        </w:rPr>
      </w:pPr>
      <w:r w:rsidRPr="00186335">
        <w:rPr>
          <w:sz w:val="24"/>
        </w:rPr>
        <w:t>As the new site for Plumstead fire station is yet to be purchased or a leased agreed, there is a risk that the project programme will be substantively delayed. The LFB Training Centre project has a dependency on PEG moving out of Croydon, any delay to the PEG/BDC development may have a knock on effect on the delivery of the Training Centre programme</w:t>
      </w:r>
      <w:r w:rsidR="00575005">
        <w:rPr>
          <w:sz w:val="24"/>
        </w:rPr>
        <w:t xml:space="preserve">. </w:t>
      </w:r>
      <w:r w:rsidRPr="00186335">
        <w:rPr>
          <w:sz w:val="24"/>
        </w:rPr>
        <w:t xml:space="preserve">The lease agreement for the new combined PEG/BDC facility (Integrated and Equipment Logistics Project – IELP) has been recently signed and the fit-out/adaptation works are to commence shortly. Should these risks in respect of site acquisition/programme delays materialise, this could result in reduced expenditure in future years compared to the current forecast budgets for </w:t>
      </w:r>
      <w:r w:rsidRPr="00B5525D">
        <w:rPr>
          <w:sz w:val="24"/>
        </w:rPr>
        <w:t xml:space="preserve">these major capital projects. </w:t>
      </w:r>
    </w:p>
    <w:p w:rsidR="007E7CA7" w:rsidRPr="00B5525D" w:rsidRDefault="007E7CA7" w:rsidP="00186335">
      <w:pPr>
        <w:numPr>
          <w:ilvl w:val="1"/>
          <w:numId w:val="60"/>
        </w:numPr>
        <w:spacing w:after="120" w:line="240" w:lineRule="auto"/>
        <w:ind w:left="567" w:hanging="567"/>
        <w:rPr>
          <w:color w:val="000000" w:themeColor="text1"/>
          <w:sz w:val="24"/>
        </w:rPr>
      </w:pPr>
      <w:r w:rsidRPr="00B5525D">
        <w:rPr>
          <w:sz w:val="24"/>
        </w:rPr>
        <w:t>Delays could occur in the delivery of the Farynor and Home Fire Safety Database projects  as it has been considered prudent to await the outcome of the independent Review of Building Regulations and Fire Safety being led by Dame Judith Hackitt.</w:t>
      </w:r>
      <w:r w:rsidR="00575005" w:rsidRPr="00B5525D">
        <w:rPr>
          <w:sz w:val="24"/>
        </w:rPr>
        <w:t xml:space="preserve"> </w:t>
      </w:r>
      <w:r w:rsidRPr="00B5525D">
        <w:rPr>
          <w:color w:val="000000" w:themeColor="text1"/>
          <w:sz w:val="24"/>
        </w:rPr>
        <w:t>The review will make recommendations that will ensure that there is sufficient robust regulatory system for the future. The report scheduled for Spring 2018 and due consideration will be given to the findings which will result in the final specification of these two projects. Accordingly, the exact time frame for these projects are uncertain at present</w:t>
      </w:r>
    </w:p>
    <w:p w:rsidR="007E7CA7" w:rsidRPr="00B5525D" w:rsidRDefault="007E7CA7" w:rsidP="00186335">
      <w:pPr>
        <w:numPr>
          <w:ilvl w:val="1"/>
          <w:numId w:val="60"/>
        </w:numPr>
        <w:spacing w:after="120" w:line="240" w:lineRule="auto"/>
        <w:ind w:left="567" w:hanging="567"/>
        <w:rPr>
          <w:color w:val="000000" w:themeColor="text1"/>
          <w:sz w:val="24"/>
        </w:rPr>
      </w:pPr>
      <w:r w:rsidRPr="00B5525D">
        <w:rPr>
          <w:color w:val="000000" w:themeColor="text1"/>
          <w:sz w:val="24"/>
        </w:rPr>
        <w:t>The Public Services Network budget for 2018/19 of £707k  is held as a contingency concerning ensuring the readiness of the ICT systems environment to meet the standards dictated by the Emergency Services Network. Currently, this work is funded through a Home Office grant. However, as this grant maybe withdrawn in the future, it is prudent to include a capital budget for the potential financial impact.  If the grant funding continues,  this budget will not be required and accordingly would be a saving to the capital programme.</w:t>
      </w:r>
    </w:p>
    <w:p w:rsidR="005B3958" w:rsidRPr="00186335" w:rsidRDefault="00701CB6">
      <w:pPr>
        <w:numPr>
          <w:ilvl w:val="1"/>
          <w:numId w:val="60"/>
        </w:numPr>
        <w:spacing w:after="120" w:line="240" w:lineRule="auto"/>
        <w:ind w:left="567" w:hanging="567"/>
        <w:rPr>
          <w:sz w:val="24"/>
        </w:rPr>
      </w:pPr>
      <w:r w:rsidRPr="00186335">
        <w:rPr>
          <w:sz w:val="24"/>
        </w:rPr>
        <w:t>The debt charges arising from the capital programme have been calculated using the current forecast Public Works Loans Board (PWLB) rates. No allowance has been made in the capital programme for potential future capital grants or contributions and LFEPA will bid for any available capital resources as and when such opportunities arise.</w:t>
      </w:r>
    </w:p>
    <w:p w:rsidR="005D7E86" w:rsidRDefault="005D7E86">
      <w:pPr>
        <w:spacing w:after="0" w:line="240" w:lineRule="auto"/>
        <w:rPr>
          <w:b/>
          <w:sz w:val="24"/>
        </w:rPr>
        <w:sectPr w:rsidR="005D7E86" w:rsidSect="00886BE8">
          <w:headerReference w:type="default" r:id="rId21"/>
          <w:pgSz w:w="11907" w:h="16840" w:code="9"/>
          <w:pgMar w:top="1252" w:right="1134" w:bottom="1134" w:left="1134" w:header="567" w:footer="454" w:gutter="0"/>
          <w:cols w:space="708"/>
          <w:docGrid w:linePitch="360"/>
        </w:sectPr>
      </w:pPr>
    </w:p>
    <w:p w:rsidR="003812EF" w:rsidRDefault="003812EF" w:rsidP="00FF03A8">
      <w:pPr>
        <w:spacing w:after="0" w:line="240" w:lineRule="auto"/>
        <w:rPr>
          <w:b/>
          <w:sz w:val="24"/>
        </w:rPr>
      </w:pPr>
    </w:p>
    <w:p w:rsidR="00C22DCA" w:rsidRPr="00C17D90" w:rsidRDefault="00C22DCA" w:rsidP="00FF03A8">
      <w:pPr>
        <w:spacing w:after="0" w:line="240" w:lineRule="auto"/>
        <w:rPr>
          <w:b/>
          <w:sz w:val="24"/>
        </w:rPr>
      </w:pPr>
      <w:r w:rsidRPr="00C17D90">
        <w:rPr>
          <w:b/>
          <w:sz w:val="24"/>
        </w:rPr>
        <w:t>Financial Regulation 9:</w:t>
      </w:r>
    </w:p>
    <w:p w:rsidR="00C22DCA" w:rsidRPr="00C17D90" w:rsidRDefault="00C22DCA" w:rsidP="00C22DCA">
      <w:pPr>
        <w:pStyle w:val="Default"/>
        <w:spacing w:after="260"/>
        <w:rPr>
          <w:i/>
          <w:szCs w:val="22"/>
        </w:rPr>
      </w:pPr>
      <w:r w:rsidRPr="00C17D90">
        <w:rPr>
          <w:i/>
          <w:szCs w:val="22"/>
        </w:rPr>
        <w:t xml:space="preserve">“(f) With the agreement of the Director of Finance and Contractual Services, a head of department may transfer up to £50,000 from a budget head within that department’s approved budget to a budget head within another department’s approved budget, but if those budget heads are in different Directorates the agreement of the appropriate Directors is also required. </w:t>
      </w:r>
    </w:p>
    <w:p w:rsidR="00C22DCA" w:rsidRPr="00C17D90" w:rsidRDefault="00C22DCA" w:rsidP="00C22DCA">
      <w:pPr>
        <w:pStyle w:val="Default"/>
        <w:spacing w:after="260"/>
        <w:rPr>
          <w:i/>
          <w:szCs w:val="22"/>
        </w:rPr>
      </w:pPr>
      <w:r w:rsidRPr="00C17D90">
        <w:rPr>
          <w:i/>
          <w:szCs w:val="22"/>
        </w:rPr>
        <w:t xml:space="preserve">(g) With the agreement of the Director of Finance and Contractual Services, the Commissioner, the Directors and the Head of Legal and Democratic Services may transfer up to £125,000 from a budget head within that department’s approved budget to a budget head within another department’s approved budget. </w:t>
      </w:r>
    </w:p>
    <w:p w:rsidR="00997D86" w:rsidRPr="00F079CE" w:rsidRDefault="00C22DCA" w:rsidP="00C22DCA">
      <w:pPr>
        <w:pStyle w:val="Default"/>
        <w:spacing w:after="260"/>
        <w:rPr>
          <w:i/>
          <w:szCs w:val="22"/>
        </w:rPr>
      </w:pPr>
      <w:r w:rsidRPr="00C17D90">
        <w:rPr>
          <w:i/>
          <w:szCs w:val="22"/>
        </w:rPr>
        <w:t>(h) The Director of Finance and Contractual Services shall report all transfers under (f) and (g) to the relevant committee as part of the quarterly monitoring reports.“</w:t>
      </w:r>
    </w:p>
    <w:p w:rsidR="00880EEA" w:rsidRDefault="007F4DBE" w:rsidP="00974CB5">
      <w:pPr>
        <w:rPr>
          <w:sz w:val="24"/>
        </w:rPr>
      </w:pPr>
      <w:r w:rsidRPr="00186335">
        <w:rPr>
          <w:sz w:val="24"/>
        </w:rPr>
        <w:t>No transfers were processed in Q</w:t>
      </w:r>
      <w:r w:rsidR="0013296D" w:rsidRPr="00186335">
        <w:rPr>
          <w:sz w:val="24"/>
        </w:rPr>
        <w:t xml:space="preserve">uarter </w:t>
      </w:r>
      <w:r w:rsidR="002755ED" w:rsidRPr="00186335">
        <w:rPr>
          <w:sz w:val="24"/>
        </w:rPr>
        <w:t>3</w:t>
      </w:r>
      <w:r w:rsidRPr="00186335">
        <w:rPr>
          <w:sz w:val="24"/>
        </w:rPr>
        <w:t xml:space="preserve"> that require</w:t>
      </w:r>
      <w:r w:rsidR="00D65E4A">
        <w:rPr>
          <w:sz w:val="24"/>
        </w:rPr>
        <w:t>s</w:t>
      </w:r>
      <w:r w:rsidRPr="00186335">
        <w:rPr>
          <w:sz w:val="24"/>
        </w:rPr>
        <w:t xml:space="preserve"> reporting.</w:t>
      </w:r>
    </w:p>
    <w:p w:rsidR="00B20274" w:rsidRDefault="00B20274" w:rsidP="00974CB5">
      <w:pPr>
        <w:rPr>
          <w:sz w:val="24"/>
        </w:rPr>
      </w:pPr>
    </w:p>
    <w:p w:rsidR="005D1F66" w:rsidRDefault="005D1F66" w:rsidP="00974CB5">
      <w:pPr>
        <w:rPr>
          <w:sz w:val="24"/>
        </w:rPr>
        <w:sectPr w:rsidR="005D1F66" w:rsidSect="00886BE8">
          <w:headerReference w:type="default" r:id="rId22"/>
          <w:pgSz w:w="11907" w:h="16840" w:code="9"/>
          <w:pgMar w:top="1252" w:right="1134" w:bottom="1134" w:left="1134" w:header="567" w:footer="454" w:gutter="0"/>
          <w:cols w:space="708"/>
          <w:docGrid w:linePitch="360"/>
        </w:sectPr>
      </w:pPr>
    </w:p>
    <w:p w:rsidR="002F2557" w:rsidRDefault="002F2557" w:rsidP="002F2557">
      <w:pPr>
        <w:rPr>
          <w:sz w:val="24"/>
        </w:rPr>
      </w:pPr>
      <w:r>
        <w:rPr>
          <w:sz w:val="24"/>
        </w:rPr>
        <w:t xml:space="preserve">The chart below shows the amount of outstanding </w:t>
      </w:r>
      <w:r w:rsidR="00235559">
        <w:rPr>
          <w:sz w:val="24"/>
        </w:rPr>
        <w:t xml:space="preserve">Shut-in-Lift (SIL) </w:t>
      </w:r>
      <w:r>
        <w:rPr>
          <w:sz w:val="24"/>
        </w:rPr>
        <w:t>debts over the last 18 months.</w:t>
      </w:r>
      <w:r w:rsidR="00B45F73">
        <w:rPr>
          <w:sz w:val="24"/>
        </w:rPr>
        <w:t xml:space="preserve"> Note the below graph shows a </w:t>
      </w:r>
      <w:r w:rsidR="000E7964">
        <w:rPr>
          <w:sz w:val="24"/>
        </w:rPr>
        <w:t>decrease of £14k</w:t>
      </w:r>
      <w:r w:rsidR="00B45F73">
        <w:rPr>
          <w:sz w:val="24"/>
        </w:rPr>
        <w:t xml:space="preserve"> in </w:t>
      </w:r>
      <w:r w:rsidR="009607E8">
        <w:rPr>
          <w:sz w:val="24"/>
        </w:rPr>
        <w:t xml:space="preserve">outstanding debt </w:t>
      </w:r>
      <w:r w:rsidR="000E7964">
        <w:rPr>
          <w:sz w:val="24"/>
        </w:rPr>
        <w:t xml:space="preserve">since last </w:t>
      </w:r>
      <w:r w:rsidR="00235559">
        <w:rPr>
          <w:sz w:val="24"/>
        </w:rPr>
        <w:t xml:space="preserve">the </w:t>
      </w:r>
      <w:r w:rsidR="000E7964">
        <w:rPr>
          <w:sz w:val="24"/>
        </w:rPr>
        <w:t>report at the end of Quarter 2 and that the trend over the financial shows a nearly continuous decrease.</w:t>
      </w:r>
    </w:p>
    <w:p w:rsidR="00B20274" w:rsidRDefault="000E7964" w:rsidP="00974CB5">
      <w:pPr>
        <w:rPr>
          <w:sz w:val="24"/>
        </w:rPr>
      </w:pPr>
      <w:r>
        <w:rPr>
          <w:noProof/>
          <w:lang w:eastAsia="en-GB"/>
        </w:rPr>
        <w:drawing>
          <wp:inline distT="0" distB="0" distL="0" distR="0" wp14:anchorId="386CD442" wp14:editId="78839DAC">
            <wp:extent cx="5943600" cy="308864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20274" w:rsidRDefault="000549ED" w:rsidP="00974CB5">
      <w:pPr>
        <w:rPr>
          <w:sz w:val="24"/>
        </w:rPr>
      </w:pPr>
      <w:r>
        <w:rPr>
          <w:sz w:val="24"/>
        </w:rPr>
        <w:t xml:space="preserve">The chart </w:t>
      </w:r>
      <w:r w:rsidR="002F2557">
        <w:rPr>
          <w:sz w:val="24"/>
        </w:rPr>
        <w:t xml:space="preserve">below </w:t>
      </w:r>
      <w:r>
        <w:rPr>
          <w:sz w:val="24"/>
        </w:rPr>
        <w:t xml:space="preserve">shows the top 5 (worst) outstanding debtors for </w:t>
      </w:r>
      <w:r w:rsidR="00235559">
        <w:rPr>
          <w:sz w:val="24"/>
        </w:rPr>
        <w:t xml:space="preserve">SIL </w:t>
      </w:r>
      <w:r>
        <w:rPr>
          <w:sz w:val="24"/>
        </w:rPr>
        <w:t>income.</w:t>
      </w:r>
    </w:p>
    <w:tbl>
      <w:tblPr>
        <w:tblStyle w:val="TableGrid1"/>
        <w:tblW w:w="8046" w:type="dxa"/>
        <w:tblInd w:w="401" w:type="dxa"/>
        <w:tblLayout w:type="fixed"/>
        <w:tblLook w:val="04A0" w:firstRow="1" w:lastRow="0" w:firstColumn="1" w:lastColumn="0" w:noHBand="0" w:noVBand="1"/>
      </w:tblPr>
      <w:tblGrid>
        <w:gridCol w:w="3497"/>
        <w:gridCol w:w="1516"/>
        <w:gridCol w:w="1516"/>
        <w:gridCol w:w="1517"/>
      </w:tblGrid>
      <w:tr w:rsidR="002F2557" w:rsidRPr="007D64BC" w:rsidTr="00186335">
        <w:trPr>
          <w:trHeight w:val="600"/>
        </w:trPr>
        <w:tc>
          <w:tcPr>
            <w:tcW w:w="3497" w:type="dxa"/>
            <w:shd w:val="clear" w:color="auto" w:fill="D9D9D9" w:themeFill="background1" w:themeFillShade="D9"/>
            <w:hideMark/>
          </w:tcPr>
          <w:p w:rsidR="002F2557" w:rsidRPr="007D64BC" w:rsidRDefault="002F2557" w:rsidP="002F2557">
            <w:pPr>
              <w:tabs>
                <w:tab w:val="center" w:pos="1640"/>
              </w:tabs>
              <w:spacing w:before="40" w:after="40" w:line="240" w:lineRule="auto"/>
              <w:rPr>
                <w:szCs w:val="22"/>
                <w:lang w:eastAsia="en-GB"/>
              </w:rPr>
            </w:pPr>
            <w:r w:rsidRPr="007D64BC">
              <w:rPr>
                <w:szCs w:val="22"/>
                <w:lang w:eastAsia="en-GB"/>
              </w:rPr>
              <w:tab/>
            </w:r>
          </w:p>
        </w:tc>
        <w:tc>
          <w:tcPr>
            <w:tcW w:w="1516" w:type="dxa"/>
            <w:shd w:val="clear" w:color="auto" w:fill="D9D9D9" w:themeFill="background1" w:themeFillShade="D9"/>
            <w:hideMark/>
          </w:tcPr>
          <w:p w:rsidR="002F2557" w:rsidRPr="007D64BC" w:rsidRDefault="002F2557" w:rsidP="002F2557">
            <w:pPr>
              <w:spacing w:before="40" w:after="40" w:line="240" w:lineRule="auto"/>
              <w:jc w:val="center"/>
              <w:rPr>
                <w:b/>
                <w:bCs/>
                <w:szCs w:val="22"/>
                <w:lang w:eastAsia="en-GB"/>
              </w:rPr>
            </w:pPr>
            <w:r w:rsidRPr="007D64BC">
              <w:rPr>
                <w:b/>
                <w:bCs/>
                <w:szCs w:val="22"/>
                <w:lang w:eastAsia="en-GB"/>
              </w:rPr>
              <w:t>Amount outstanding (£)</w:t>
            </w:r>
          </w:p>
        </w:tc>
        <w:tc>
          <w:tcPr>
            <w:tcW w:w="1516" w:type="dxa"/>
            <w:shd w:val="clear" w:color="auto" w:fill="D9D9D9" w:themeFill="background1" w:themeFillShade="D9"/>
            <w:hideMark/>
          </w:tcPr>
          <w:p w:rsidR="002F2557" w:rsidRPr="007D64BC" w:rsidRDefault="002F2557" w:rsidP="002F2557">
            <w:pPr>
              <w:spacing w:before="40" w:after="40" w:line="240" w:lineRule="auto"/>
              <w:jc w:val="center"/>
              <w:rPr>
                <w:b/>
                <w:bCs/>
                <w:szCs w:val="22"/>
                <w:lang w:eastAsia="en-GB"/>
              </w:rPr>
            </w:pPr>
            <w:r w:rsidRPr="007D64BC">
              <w:rPr>
                <w:b/>
                <w:bCs/>
                <w:szCs w:val="22"/>
                <w:lang w:eastAsia="en-GB"/>
              </w:rPr>
              <w:t>Average Age of Invoices in days</w:t>
            </w:r>
          </w:p>
        </w:tc>
        <w:tc>
          <w:tcPr>
            <w:tcW w:w="1517" w:type="dxa"/>
            <w:shd w:val="clear" w:color="auto" w:fill="D9D9D9" w:themeFill="background1" w:themeFillShade="D9"/>
            <w:hideMark/>
          </w:tcPr>
          <w:p w:rsidR="002F2557" w:rsidRPr="007D64BC" w:rsidRDefault="002F2557" w:rsidP="002F2557">
            <w:pPr>
              <w:spacing w:before="40" w:after="40" w:line="240" w:lineRule="auto"/>
              <w:jc w:val="center"/>
              <w:rPr>
                <w:b/>
                <w:bCs/>
                <w:szCs w:val="22"/>
                <w:lang w:eastAsia="en-GB"/>
              </w:rPr>
            </w:pPr>
            <w:r w:rsidRPr="007D64BC">
              <w:rPr>
                <w:b/>
                <w:bCs/>
                <w:szCs w:val="22"/>
                <w:lang w:eastAsia="en-GB"/>
              </w:rPr>
              <w:t>No of invoices</w:t>
            </w:r>
          </w:p>
        </w:tc>
      </w:tr>
      <w:tr w:rsidR="000E7964" w:rsidRPr="007D64BC" w:rsidTr="00186335">
        <w:trPr>
          <w:trHeight w:val="300"/>
        </w:trPr>
        <w:tc>
          <w:tcPr>
            <w:tcW w:w="3497" w:type="dxa"/>
            <w:noWrap/>
            <w:hideMark/>
          </w:tcPr>
          <w:p w:rsidR="000E7964" w:rsidRPr="006B1F91" w:rsidRDefault="000E7964" w:rsidP="002F2557">
            <w:pPr>
              <w:spacing w:before="40" w:after="40" w:line="240" w:lineRule="auto"/>
              <w:rPr>
                <w:szCs w:val="22"/>
                <w:lang w:eastAsia="en-GB"/>
              </w:rPr>
            </w:pPr>
            <w:r w:rsidRPr="006B1F91">
              <w:rPr>
                <w:szCs w:val="22"/>
                <w:lang w:eastAsia="en-GB"/>
              </w:rPr>
              <w:t>London Borough of Lambeth</w:t>
            </w:r>
          </w:p>
        </w:tc>
        <w:tc>
          <w:tcPr>
            <w:tcW w:w="1516" w:type="dxa"/>
            <w:noWrap/>
            <w:vAlign w:val="bottom"/>
            <w:hideMark/>
          </w:tcPr>
          <w:p w:rsidR="000E7964" w:rsidRPr="00A859DD" w:rsidRDefault="000E7964">
            <w:pPr>
              <w:spacing w:before="40" w:after="40" w:line="240" w:lineRule="auto"/>
              <w:jc w:val="right"/>
              <w:rPr>
                <w:szCs w:val="22"/>
                <w:highlight w:val="yellow"/>
                <w:lang w:eastAsia="en-GB"/>
              </w:rPr>
            </w:pPr>
            <w:r w:rsidRPr="00186335">
              <w:rPr>
                <w:szCs w:val="22"/>
              </w:rPr>
              <w:t xml:space="preserve">15,338 </w:t>
            </w:r>
          </w:p>
        </w:tc>
        <w:tc>
          <w:tcPr>
            <w:tcW w:w="1516" w:type="dxa"/>
            <w:noWrap/>
            <w:vAlign w:val="bottom"/>
            <w:hideMark/>
          </w:tcPr>
          <w:p w:rsidR="000E7964" w:rsidRPr="00A859DD" w:rsidRDefault="000E7964" w:rsidP="002F2557">
            <w:pPr>
              <w:spacing w:before="40" w:after="40" w:line="240" w:lineRule="auto"/>
              <w:jc w:val="right"/>
              <w:rPr>
                <w:szCs w:val="22"/>
                <w:highlight w:val="yellow"/>
                <w:lang w:eastAsia="en-GB"/>
              </w:rPr>
            </w:pPr>
            <w:r w:rsidRPr="00186335">
              <w:rPr>
                <w:szCs w:val="22"/>
              </w:rPr>
              <w:t xml:space="preserve">150 </w:t>
            </w:r>
          </w:p>
        </w:tc>
        <w:tc>
          <w:tcPr>
            <w:tcW w:w="1517" w:type="dxa"/>
            <w:noWrap/>
            <w:vAlign w:val="bottom"/>
            <w:hideMark/>
          </w:tcPr>
          <w:p w:rsidR="000E7964" w:rsidRPr="00A859DD" w:rsidRDefault="000E7964" w:rsidP="002F2557">
            <w:pPr>
              <w:spacing w:before="40" w:after="40" w:line="240" w:lineRule="auto"/>
              <w:jc w:val="right"/>
              <w:rPr>
                <w:szCs w:val="22"/>
                <w:highlight w:val="yellow"/>
                <w:lang w:eastAsia="en-GB"/>
              </w:rPr>
            </w:pPr>
            <w:r w:rsidRPr="00186335">
              <w:rPr>
                <w:szCs w:val="22"/>
              </w:rPr>
              <w:t xml:space="preserve">39 </w:t>
            </w:r>
          </w:p>
        </w:tc>
      </w:tr>
      <w:tr w:rsidR="007D64BC" w:rsidRPr="007D64BC" w:rsidTr="00186335">
        <w:trPr>
          <w:trHeight w:val="300"/>
        </w:trPr>
        <w:tc>
          <w:tcPr>
            <w:tcW w:w="3497" w:type="dxa"/>
            <w:noWrap/>
            <w:hideMark/>
          </w:tcPr>
          <w:p w:rsidR="007D64BC" w:rsidRPr="006B1F91" w:rsidRDefault="007D64BC" w:rsidP="002F2557">
            <w:pPr>
              <w:spacing w:before="40" w:after="40" w:line="240" w:lineRule="auto"/>
              <w:rPr>
                <w:szCs w:val="22"/>
                <w:lang w:eastAsia="en-GB"/>
              </w:rPr>
            </w:pPr>
            <w:r w:rsidRPr="006B1F91">
              <w:rPr>
                <w:szCs w:val="22"/>
                <w:lang w:eastAsia="en-GB"/>
              </w:rPr>
              <w:t>London Borough of Croydon</w:t>
            </w:r>
          </w:p>
        </w:tc>
        <w:tc>
          <w:tcPr>
            <w:tcW w:w="1516"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7,306 </w:t>
            </w:r>
          </w:p>
        </w:tc>
        <w:tc>
          <w:tcPr>
            <w:tcW w:w="1516"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719 </w:t>
            </w:r>
          </w:p>
        </w:tc>
        <w:tc>
          <w:tcPr>
            <w:tcW w:w="1517"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20 </w:t>
            </w:r>
          </w:p>
        </w:tc>
      </w:tr>
      <w:tr w:rsidR="007D64BC" w:rsidRPr="007D64BC" w:rsidTr="00186335">
        <w:trPr>
          <w:trHeight w:val="300"/>
        </w:trPr>
        <w:tc>
          <w:tcPr>
            <w:tcW w:w="3497" w:type="dxa"/>
            <w:noWrap/>
            <w:hideMark/>
          </w:tcPr>
          <w:p w:rsidR="007D64BC" w:rsidRPr="006B1F91" w:rsidRDefault="007D64BC" w:rsidP="002F2557">
            <w:pPr>
              <w:spacing w:before="40" w:after="40" w:line="240" w:lineRule="auto"/>
              <w:rPr>
                <w:szCs w:val="22"/>
                <w:lang w:eastAsia="en-GB"/>
              </w:rPr>
            </w:pPr>
            <w:r w:rsidRPr="007D64BC">
              <w:rPr>
                <w:szCs w:val="22"/>
                <w:lang w:eastAsia="en-GB"/>
              </w:rPr>
              <w:t>S</w:t>
            </w:r>
            <w:r w:rsidRPr="006B1F91">
              <w:rPr>
                <w:szCs w:val="22"/>
                <w:lang w:eastAsia="en-GB"/>
              </w:rPr>
              <w:t>ainsbury’s Supermarkets PLC</w:t>
            </w:r>
          </w:p>
        </w:tc>
        <w:tc>
          <w:tcPr>
            <w:tcW w:w="1516"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5,742 </w:t>
            </w:r>
          </w:p>
        </w:tc>
        <w:tc>
          <w:tcPr>
            <w:tcW w:w="1516"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883 </w:t>
            </w:r>
          </w:p>
        </w:tc>
        <w:tc>
          <w:tcPr>
            <w:tcW w:w="1517"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16 </w:t>
            </w:r>
          </w:p>
        </w:tc>
      </w:tr>
      <w:tr w:rsidR="007D64BC" w:rsidRPr="007D64BC" w:rsidTr="00186335">
        <w:trPr>
          <w:trHeight w:val="300"/>
        </w:trPr>
        <w:tc>
          <w:tcPr>
            <w:tcW w:w="3497" w:type="dxa"/>
            <w:noWrap/>
            <w:hideMark/>
          </w:tcPr>
          <w:p w:rsidR="007D64BC" w:rsidRPr="006B1F91" w:rsidRDefault="007D64BC" w:rsidP="002F2557">
            <w:pPr>
              <w:spacing w:before="40" w:after="40" w:line="240" w:lineRule="auto"/>
              <w:rPr>
                <w:szCs w:val="22"/>
                <w:lang w:eastAsia="en-GB"/>
              </w:rPr>
            </w:pPr>
            <w:r w:rsidRPr="006B1F91">
              <w:rPr>
                <w:szCs w:val="22"/>
                <w:lang w:eastAsia="en-GB"/>
              </w:rPr>
              <w:t>Tesco Stores Ltd</w:t>
            </w:r>
          </w:p>
        </w:tc>
        <w:tc>
          <w:tcPr>
            <w:tcW w:w="1516"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5,642 </w:t>
            </w:r>
          </w:p>
        </w:tc>
        <w:tc>
          <w:tcPr>
            <w:tcW w:w="1516"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967 </w:t>
            </w:r>
          </w:p>
        </w:tc>
        <w:tc>
          <w:tcPr>
            <w:tcW w:w="1517" w:type="dxa"/>
            <w:noWrap/>
            <w:hideMark/>
          </w:tcPr>
          <w:p w:rsidR="007D64BC" w:rsidRPr="007D64BC" w:rsidRDefault="007D64BC" w:rsidP="002F2557">
            <w:pPr>
              <w:spacing w:before="40" w:after="40" w:line="240" w:lineRule="auto"/>
              <w:jc w:val="right"/>
              <w:rPr>
                <w:szCs w:val="22"/>
                <w:highlight w:val="yellow"/>
                <w:lang w:eastAsia="en-GB"/>
              </w:rPr>
            </w:pPr>
            <w:r w:rsidRPr="00C66997">
              <w:rPr>
                <w:szCs w:val="22"/>
              </w:rPr>
              <w:t xml:space="preserve"> 16 </w:t>
            </w:r>
          </w:p>
        </w:tc>
      </w:tr>
      <w:tr w:rsidR="007D64BC" w:rsidRPr="007D64BC" w:rsidTr="00186335">
        <w:trPr>
          <w:trHeight w:val="300"/>
        </w:trPr>
        <w:tc>
          <w:tcPr>
            <w:tcW w:w="3497" w:type="dxa"/>
            <w:noWrap/>
            <w:hideMark/>
          </w:tcPr>
          <w:p w:rsidR="007D64BC" w:rsidRPr="006B1F91" w:rsidRDefault="007D64BC" w:rsidP="000E7964">
            <w:pPr>
              <w:spacing w:before="40" w:after="40" w:line="240" w:lineRule="auto"/>
              <w:rPr>
                <w:szCs w:val="22"/>
                <w:lang w:eastAsia="en-GB"/>
              </w:rPr>
            </w:pPr>
            <w:r w:rsidRPr="006B1F91">
              <w:rPr>
                <w:szCs w:val="22"/>
                <w:lang w:eastAsia="en-GB"/>
              </w:rPr>
              <w:t>Royal Borough of Greenwich</w:t>
            </w:r>
          </w:p>
        </w:tc>
        <w:tc>
          <w:tcPr>
            <w:tcW w:w="1516" w:type="dxa"/>
            <w:noWrap/>
            <w:hideMark/>
          </w:tcPr>
          <w:p w:rsidR="007D64BC" w:rsidRPr="007D64BC" w:rsidRDefault="007D64BC" w:rsidP="000E7964">
            <w:pPr>
              <w:spacing w:before="40" w:after="40" w:line="240" w:lineRule="auto"/>
              <w:jc w:val="right"/>
              <w:rPr>
                <w:szCs w:val="22"/>
                <w:highlight w:val="yellow"/>
                <w:lang w:eastAsia="en-GB"/>
              </w:rPr>
            </w:pPr>
            <w:r w:rsidRPr="00C66997">
              <w:rPr>
                <w:szCs w:val="22"/>
              </w:rPr>
              <w:t xml:space="preserve"> 4,716 </w:t>
            </w:r>
          </w:p>
        </w:tc>
        <w:tc>
          <w:tcPr>
            <w:tcW w:w="1516" w:type="dxa"/>
            <w:noWrap/>
            <w:hideMark/>
          </w:tcPr>
          <w:p w:rsidR="007D64BC" w:rsidRPr="007D64BC" w:rsidRDefault="007D64BC" w:rsidP="000E7964">
            <w:pPr>
              <w:spacing w:before="40" w:after="40" w:line="240" w:lineRule="auto"/>
              <w:jc w:val="right"/>
              <w:rPr>
                <w:szCs w:val="22"/>
                <w:highlight w:val="yellow"/>
                <w:lang w:eastAsia="en-GB"/>
              </w:rPr>
            </w:pPr>
            <w:r w:rsidRPr="00C66997">
              <w:rPr>
                <w:szCs w:val="22"/>
              </w:rPr>
              <w:t xml:space="preserve"> 195 </w:t>
            </w:r>
          </w:p>
        </w:tc>
        <w:tc>
          <w:tcPr>
            <w:tcW w:w="1517" w:type="dxa"/>
            <w:noWrap/>
            <w:hideMark/>
          </w:tcPr>
          <w:p w:rsidR="007D64BC" w:rsidRPr="007D64BC" w:rsidRDefault="007D64BC" w:rsidP="000E7964">
            <w:pPr>
              <w:spacing w:before="40" w:after="40" w:line="240" w:lineRule="auto"/>
              <w:jc w:val="right"/>
              <w:rPr>
                <w:szCs w:val="22"/>
                <w:highlight w:val="yellow"/>
                <w:lang w:eastAsia="en-GB"/>
              </w:rPr>
            </w:pPr>
            <w:r w:rsidRPr="00C66997">
              <w:rPr>
                <w:szCs w:val="22"/>
              </w:rPr>
              <w:t xml:space="preserve"> 12 </w:t>
            </w:r>
          </w:p>
        </w:tc>
      </w:tr>
      <w:tr w:rsidR="000E7964" w:rsidRPr="007D64BC" w:rsidTr="00186335">
        <w:trPr>
          <w:trHeight w:val="300"/>
        </w:trPr>
        <w:tc>
          <w:tcPr>
            <w:tcW w:w="3497" w:type="dxa"/>
            <w:shd w:val="clear" w:color="auto" w:fill="D9D9D9" w:themeFill="background1" w:themeFillShade="D9"/>
            <w:noWrap/>
            <w:hideMark/>
          </w:tcPr>
          <w:p w:rsidR="000E7964" w:rsidRPr="007D64BC" w:rsidRDefault="000E7964" w:rsidP="002F2557">
            <w:pPr>
              <w:spacing w:before="40" w:after="40" w:line="240" w:lineRule="auto"/>
              <w:rPr>
                <w:b/>
                <w:szCs w:val="22"/>
                <w:highlight w:val="yellow"/>
                <w:lang w:eastAsia="en-GB"/>
              </w:rPr>
            </w:pPr>
            <w:r w:rsidRPr="006B1F91">
              <w:rPr>
                <w:b/>
                <w:szCs w:val="22"/>
                <w:lang w:eastAsia="en-GB"/>
              </w:rPr>
              <w:t>Total</w:t>
            </w:r>
          </w:p>
        </w:tc>
        <w:tc>
          <w:tcPr>
            <w:tcW w:w="1516" w:type="dxa"/>
            <w:shd w:val="clear" w:color="auto" w:fill="D9D9D9" w:themeFill="background1" w:themeFillShade="D9"/>
            <w:noWrap/>
            <w:hideMark/>
          </w:tcPr>
          <w:p w:rsidR="000E7964" w:rsidRPr="007D64BC" w:rsidRDefault="000E7964" w:rsidP="002F2557">
            <w:pPr>
              <w:spacing w:before="40" w:after="40" w:line="240" w:lineRule="auto"/>
              <w:jc w:val="right"/>
              <w:rPr>
                <w:b/>
                <w:szCs w:val="22"/>
                <w:highlight w:val="yellow"/>
                <w:lang w:eastAsia="en-GB"/>
              </w:rPr>
            </w:pPr>
            <w:r w:rsidRPr="006B1F91">
              <w:rPr>
                <w:b/>
                <w:szCs w:val="22"/>
              </w:rPr>
              <w:t xml:space="preserve">38,744 </w:t>
            </w:r>
          </w:p>
        </w:tc>
        <w:tc>
          <w:tcPr>
            <w:tcW w:w="1516" w:type="dxa"/>
            <w:shd w:val="clear" w:color="auto" w:fill="D9D9D9" w:themeFill="background1" w:themeFillShade="D9"/>
            <w:noWrap/>
            <w:hideMark/>
          </w:tcPr>
          <w:p w:rsidR="000E7964" w:rsidRPr="007D64BC" w:rsidRDefault="000E7964" w:rsidP="002F2557">
            <w:pPr>
              <w:spacing w:before="40" w:after="40" w:line="240" w:lineRule="auto"/>
              <w:jc w:val="right"/>
              <w:rPr>
                <w:b/>
                <w:szCs w:val="22"/>
                <w:highlight w:val="yellow"/>
                <w:lang w:eastAsia="en-GB"/>
              </w:rPr>
            </w:pPr>
            <w:r w:rsidRPr="006B1F91">
              <w:rPr>
                <w:b/>
                <w:szCs w:val="22"/>
              </w:rPr>
              <w:t xml:space="preserve">507 </w:t>
            </w:r>
          </w:p>
        </w:tc>
        <w:tc>
          <w:tcPr>
            <w:tcW w:w="1517" w:type="dxa"/>
            <w:shd w:val="clear" w:color="auto" w:fill="D9D9D9" w:themeFill="background1" w:themeFillShade="D9"/>
            <w:noWrap/>
            <w:hideMark/>
          </w:tcPr>
          <w:p w:rsidR="000E7964" w:rsidRPr="007D64BC" w:rsidRDefault="000E7964" w:rsidP="002F2557">
            <w:pPr>
              <w:spacing w:before="40" w:after="40" w:line="240" w:lineRule="auto"/>
              <w:jc w:val="right"/>
              <w:rPr>
                <w:b/>
                <w:szCs w:val="22"/>
                <w:highlight w:val="yellow"/>
                <w:lang w:eastAsia="en-GB"/>
              </w:rPr>
            </w:pPr>
            <w:r w:rsidRPr="006B1F91">
              <w:rPr>
                <w:b/>
                <w:szCs w:val="22"/>
              </w:rPr>
              <w:t xml:space="preserve"> 103 </w:t>
            </w:r>
          </w:p>
        </w:tc>
      </w:tr>
    </w:tbl>
    <w:p w:rsidR="000549ED" w:rsidRDefault="000549ED" w:rsidP="002F2557">
      <w:pPr>
        <w:rPr>
          <w:sz w:val="24"/>
        </w:rPr>
      </w:pPr>
    </w:p>
    <w:p w:rsidR="00506A89" w:rsidRDefault="002A0FD1" w:rsidP="002F2557">
      <w:pPr>
        <w:rPr>
          <w:sz w:val="24"/>
        </w:rPr>
      </w:pPr>
      <w:r w:rsidRPr="006B1F91">
        <w:rPr>
          <w:sz w:val="24"/>
        </w:rPr>
        <w:t xml:space="preserve">The </w:t>
      </w:r>
      <w:r w:rsidR="00052359" w:rsidRPr="006B1F91">
        <w:rPr>
          <w:sz w:val="24"/>
        </w:rPr>
        <w:t>top five (worst)</w:t>
      </w:r>
      <w:r w:rsidRPr="006B1F91">
        <w:rPr>
          <w:sz w:val="24"/>
        </w:rPr>
        <w:t xml:space="preserve"> debt</w:t>
      </w:r>
      <w:r w:rsidR="00052359" w:rsidRPr="006B1F91">
        <w:rPr>
          <w:sz w:val="24"/>
        </w:rPr>
        <w:t>ors has continued to</w:t>
      </w:r>
      <w:r w:rsidR="00506A89" w:rsidRPr="006B1F91">
        <w:rPr>
          <w:sz w:val="24"/>
        </w:rPr>
        <w:t xml:space="preserve"> decrease over the past </w:t>
      </w:r>
      <w:r w:rsidR="00052359" w:rsidRPr="006B1F91">
        <w:rPr>
          <w:sz w:val="24"/>
        </w:rPr>
        <w:t xml:space="preserve">years. This reached a peak of £105k at the end of September 2015, </w:t>
      </w:r>
      <w:r w:rsidR="009607E8" w:rsidRPr="006B1F91">
        <w:rPr>
          <w:sz w:val="24"/>
        </w:rPr>
        <w:t xml:space="preserve">but has </w:t>
      </w:r>
      <w:r w:rsidRPr="006B1F91">
        <w:rPr>
          <w:sz w:val="24"/>
        </w:rPr>
        <w:t xml:space="preserve">now reduced </w:t>
      </w:r>
      <w:r w:rsidR="00506A89" w:rsidRPr="006B1F91">
        <w:rPr>
          <w:sz w:val="24"/>
        </w:rPr>
        <w:t xml:space="preserve">to </w:t>
      </w:r>
      <w:r w:rsidR="003E087F" w:rsidRPr="006B1F91">
        <w:rPr>
          <w:sz w:val="24"/>
        </w:rPr>
        <w:t>£</w:t>
      </w:r>
      <w:r w:rsidR="000E7964" w:rsidRPr="006B1F91">
        <w:rPr>
          <w:sz w:val="24"/>
        </w:rPr>
        <w:t>3</w:t>
      </w:r>
      <w:r w:rsidR="007D64BC">
        <w:rPr>
          <w:sz w:val="24"/>
        </w:rPr>
        <w:t>9</w:t>
      </w:r>
      <w:r w:rsidR="000E7964" w:rsidRPr="006B1F91">
        <w:rPr>
          <w:sz w:val="24"/>
        </w:rPr>
        <w:t xml:space="preserve">k </w:t>
      </w:r>
      <w:r w:rsidR="003E087F" w:rsidRPr="006B1F91">
        <w:rPr>
          <w:sz w:val="24"/>
        </w:rPr>
        <w:t>as at the end</w:t>
      </w:r>
      <w:r w:rsidR="00506A89" w:rsidRPr="006B1F91">
        <w:rPr>
          <w:sz w:val="24"/>
        </w:rPr>
        <w:t xml:space="preserve"> of </w:t>
      </w:r>
      <w:r w:rsidR="000E7964" w:rsidRPr="006B1F91">
        <w:rPr>
          <w:sz w:val="24"/>
        </w:rPr>
        <w:t xml:space="preserve">December </w:t>
      </w:r>
      <w:r w:rsidR="00506A89" w:rsidRPr="006B1F91">
        <w:rPr>
          <w:sz w:val="24"/>
        </w:rPr>
        <w:t>2017. The continued joint effort by Authority staff has resulted in the positive progress made to date</w:t>
      </w:r>
      <w:r w:rsidR="00E53036" w:rsidRPr="006B1F91">
        <w:rPr>
          <w:sz w:val="24"/>
        </w:rPr>
        <w:t>.</w:t>
      </w:r>
    </w:p>
    <w:p w:rsidR="00797A8E" w:rsidRPr="00D00B51" w:rsidRDefault="00797A8E" w:rsidP="00797A8E">
      <w:pPr>
        <w:contextualSpacing/>
        <w:rPr>
          <w:sz w:val="24"/>
          <w:u w:val="single"/>
        </w:rPr>
      </w:pPr>
      <w:r w:rsidRPr="00D00B51">
        <w:rPr>
          <w:sz w:val="24"/>
          <w:u w:val="single"/>
        </w:rPr>
        <w:t>London Borough of Lambeth</w:t>
      </w:r>
      <w:r w:rsidR="00864A3E" w:rsidRPr="00D00B51">
        <w:rPr>
          <w:sz w:val="24"/>
          <w:u w:val="single"/>
        </w:rPr>
        <w:t>:</w:t>
      </w:r>
    </w:p>
    <w:p w:rsidR="00797A8E" w:rsidRPr="002755ED" w:rsidRDefault="009C4838" w:rsidP="00797A8E">
      <w:pPr>
        <w:contextualSpacing/>
        <w:rPr>
          <w:sz w:val="24"/>
          <w:highlight w:val="yellow"/>
        </w:rPr>
      </w:pPr>
      <w:r w:rsidRPr="00D00B51">
        <w:rPr>
          <w:sz w:val="24"/>
        </w:rPr>
        <w:t>Legal Services have been in correspondence with Lambeth</w:t>
      </w:r>
      <w:r w:rsidR="007E5D4C">
        <w:rPr>
          <w:sz w:val="24"/>
        </w:rPr>
        <w:t xml:space="preserve"> and t</w:t>
      </w:r>
      <w:r w:rsidR="00AE533C">
        <w:rPr>
          <w:sz w:val="24"/>
        </w:rPr>
        <w:t>his debt has now been settled.</w:t>
      </w:r>
      <w:r w:rsidRPr="00D00B51">
        <w:rPr>
          <w:sz w:val="24"/>
        </w:rPr>
        <w:t xml:space="preserve"> </w:t>
      </w:r>
    </w:p>
    <w:p w:rsidR="00797A8E" w:rsidRPr="002755ED" w:rsidRDefault="00797A8E" w:rsidP="00797A8E">
      <w:pPr>
        <w:contextualSpacing/>
        <w:rPr>
          <w:sz w:val="24"/>
          <w:highlight w:val="yellow"/>
        </w:rPr>
      </w:pPr>
    </w:p>
    <w:p w:rsidR="00797A8E" w:rsidRPr="00D00B51" w:rsidRDefault="007579F0" w:rsidP="00797A8E">
      <w:pPr>
        <w:contextualSpacing/>
        <w:rPr>
          <w:sz w:val="24"/>
          <w:u w:val="single"/>
        </w:rPr>
      </w:pPr>
      <w:r w:rsidRPr="00D00B51">
        <w:rPr>
          <w:sz w:val="24"/>
          <w:u w:val="single"/>
        </w:rPr>
        <w:t xml:space="preserve">London Borough of </w:t>
      </w:r>
      <w:r w:rsidR="00797A8E" w:rsidRPr="00D00B51">
        <w:rPr>
          <w:sz w:val="24"/>
          <w:u w:val="single"/>
        </w:rPr>
        <w:t>Croydon:</w:t>
      </w:r>
    </w:p>
    <w:p w:rsidR="002D6F4A" w:rsidRDefault="00C70458" w:rsidP="006B1F91">
      <w:pPr>
        <w:contextualSpacing/>
        <w:rPr>
          <w:sz w:val="24"/>
        </w:rPr>
      </w:pPr>
      <w:r w:rsidRPr="00C70458">
        <w:rPr>
          <w:sz w:val="24"/>
        </w:rPr>
        <w:t xml:space="preserve">Legal Services have been in correspondence with </w:t>
      </w:r>
      <w:r>
        <w:rPr>
          <w:sz w:val="24"/>
        </w:rPr>
        <w:t>Croydon</w:t>
      </w:r>
      <w:r w:rsidRPr="00C70458">
        <w:rPr>
          <w:sz w:val="24"/>
        </w:rPr>
        <w:t xml:space="preserve"> and this debt has now been settled. </w:t>
      </w:r>
    </w:p>
    <w:p w:rsidR="00F51623" w:rsidRPr="002755ED" w:rsidRDefault="00F51623" w:rsidP="006B1F91">
      <w:pPr>
        <w:contextualSpacing/>
        <w:rPr>
          <w:sz w:val="24"/>
          <w:highlight w:val="yellow"/>
        </w:rPr>
      </w:pPr>
    </w:p>
    <w:p w:rsidR="00797A8E" w:rsidRPr="006B1F91" w:rsidRDefault="00797A8E" w:rsidP="00797A8E">
      <w:pPr>
        <w:contextualSpacing/>
        <w:rPr>
          <w:b/>
          <w:sz w:val="24"/>
        </w:rPr>
      </w:pPr>
      <w:r w:rsidRPr="00C63434">
        <w:rPr>
          <w:sz w:val="24"/>
          <w:u w:val="single"/>
        </w:rPr>
        <w:t>Sainsbury’s Supermarkets PLC</w:t>
      </w:r>
      <w:r w:rsidR="00A01BF1">
        <w:rPr>
          <w:b/>
          <w:sz w:val="24"/>
        </w:rPr>
        <w:t>:</w:t>
      </w:r>
    </w:p>
    <w:p w:rsidR="00797A8E" w:rsidRPr="00C63434" w:rsidRDefault="00797A8E" w:rsidP="00797A8E">
      <w:pPr>
        <w:rPr>
          <w:sz w:val="24"/>
        </w:rPr>
      </w:pPr>
      <w:r w:rsidRPr="00C63434">
        <w:rPr>
          <w:sz w:val="24"/>
        </w:rPr>
        <w:t>There are currently difficulties experienced with regards to outstanding payments by Sainsbury as a whole.</w:t>
      </w:r>
      <w:r w:rsidR="00AF2457" w:rsidRPr="00C63434">
        <w:rPr>
          <w:sz w:val="24"/>
        </w:rPr>
        <w:t xml:space="preserve"> Although Sainsbury’s</w:t>
      </w:r>
      <w:r w:rsidRPr="00C63434">
        <w:rPr>
          <w:sz w:val="24"/>
        </w:rPr>
        <w:t xml:space="preserve"> is the named </w:t>
      </w:r>
      <w:r w:rsidR="004F366C" w:rsidRPr="00C63434">
        <w:rPr>
          <w:sz w:val="24"/>
        </w:rPr>
        <w:t>debtor</w:t>
      </w:r>
      <w:r w:rsidRPr="00C63434">
        <w:rPr>
          <w:sz w:val="24"/>
        </w:rPr>
        <w:t>, invoice</w:t>
      </w:r>
      <w:r w:rsidR="00086296" w:rsidRPr="00C63434">
        <w:rPr>
          <w:sz w:val="24"/>
        </w:rPr>
        <w:t>s are raised against</w:t>
      </w:r>
      <w:r w:rsidRPr="00C63434">
        <w:rPr>
          <w:sz w:val="24"/>
        </w:rPr>
        <w:t xml:space="preserve"> the </w:t>
      </w:r>
      <w:r w:rsidR="004F366C" w:rsidRPr="00C63434">
        <w:rPr>
          <w:sz w:val="24"/>
        </w:rPr>
        <w:t xml:space="preserve">individual </w:t>
      </w:r>
      <w:r w:rsidRPr="00C63434">
        <w:rPr>
          <w:sz w:val="24"/>
        </w:rPr>
        <w:t>store where the shut in life releases occurred</w:t>
      </w:r>
      <w:r w:rsidR="00D026A0" w:rsidRPr="00C63434">
        <w:rPr>
          <w:sz w:val="24"/>
        </w:rPr>
        <w:t xml:space="preserve">, which </w:t>
      </w:r>
      <w:r w:rsidR="001E5F5B" w:rsidRPr="00C63434">
        <w:rPr>
          <w:sz w:val="24"/>
        </w:rPr>
        <w:t xml:space="preserve">has made it more challenging to secure </w:t>
      </w:r>
      <w:r w:rsidR="00D026A0" w:rsidRPr="00C63434">
        <w:rPr>
          <w:sz w:val="24"/>
        </w:rPr>
        <w:t>payment</w:t>
      </w:r>
      <w:r w:rsidRPr="00C63434">
        <w:rPr>
          <w:sz w:val="24"/>
        </w:rPr>
        <w:t xml:space="preserve">. </w:t>
      </w:r>
      <w:r w:rsidR="001E5F5B" w:rsidRPr="00C63434">
        <w:rPr>
          <w:sz w:val="24"/>
        </w:rPr>
        <w:t xml:space="preserve">The </w:t>
      </w:r>
      <w:r w:rsidRPr="00C63434">
        <w:rPr>
          <w:sz w:val="24"/>
        </w:rPr>
        <w:t>Sainsbury</w:t>
      </w:r>
      <w:r w:rsidR="001E5F5B" w:rsidRPr="00C63434">
        <w:rPr>
          <w:sz w:val="24"/>
        </w:rPr>
        <w:t>’s</w:t>
      </w:r>
      <w:r w:rsidRPr="00C63434">
        <w:rPr>
          <w:sz w:val="24"/>
        </w:rPr>
        <w:t xml:space="preserve"> invoices </w:t>
      </w:r>
      <w:r w:rsidR="001E5F5B" w:rsidRPr="00C63434">
        <w:rPr>
          <w:sz w:val="24"/>
        </w:rPr>
        <w:t>also present further challenges a</w:t>
      </w:r>
      <w:r w:rsidR="00371F8E" w:rsidRPr="00C63434">
        <w:rPr>
          <w:sz w:val="24"/>
        </w:rPr>
        <w:t>s</w:t>
      </w:r>
      <w:r w:rsidR="001E5F5B" w:rsidRPr="00C63434">
        <w:rPr>
          <w:sz w:val="24"/>
        </w:rPr>
        <w:t xml:space="preserve"> they cover the London-wide area</w:t>
      </w:r>
      <w:r w:rsidR="00371F8E" w:rsidRPr="00C63434">
        <w:rPr>
          <w:sz w:val="24"/>
        </w:rPr>
        <w:t xml:space="preserve"> and do not come under the responsibility of any one area.</w:t>
      </w:r>
    </w:p>
    <w:p w:rsidR="00797A8E" w:rsidRPr="00C63434" w:rsidRDefault="00B73B44" w:rsidP="00797A8E">
      <w:pPr>
        <w:rPr>
          <w:sz w:val="24"/>
        </w:rPr>
      </w:pPr>
      <w:r w:rsidRPr="00C63434">
        <w:rPr>
          <w:sz w:val="24"/>
        </w:rPr>
        <w:t>Legal have received instructions to recover the sum of £5,742 and have been informed by Sainsbury’s that a cheque in settlement of the full amount has been raised. Payment is therefore expected</w:t>
      </w:r>
      <w:r w:rsidR="00DF1E61" w:rsidRPr="00C63434">
        <w:rPr>
          <w:sz w:val="24"/>
        </w:rPr>
        <w:t xml:space="preserve">. </w:t>
      </w:r>
    </w:p>
    <w:p w:rsidR="002D6F4A" w:rsidRPr="00C63434" w:rsidRDefault="002D6F4A" w:rsidP="002D6F4A">
      <w:pPr>
        <w:contextualSpacing/>
        <w:rPr>
          <w:sz w:val="24"/>
          <w:u w:val="single"/>
        </w:rPr>
      </w:pPr>
      <w:r w:rsidRPr="00C63434">
        <w:rPr>
          <w:sz w:val="24"/>
          <w:u w:val="single"/>
        </w:rPr>
        <w:t>Tesco Stores Ltd:</w:t>
      </w:r>
    </w:p>
    <w:p w:rsidR="002D6F4A" w:rsidRDefault="009C4838" w:rsidP="006B1F91">
      <w:pPr>
        <w:rPr>
          <w:sz w:val="24"/>
        </w:rPr>
      </w:pPr>
      <w:r w:rsidRPr="00C63434">
        <w:rPr>
          <w:sz w:val="24"/>
        </w:rPr>
        <w:t>As with Sainsbury’s, although Tesco Ltd is the named debtor</w:t>
      </w:r>
      <w:r w:rsidR="00DF1E61">
        <w:rPr>
          <w:sz w:val="24"/>
        </w:rPr>
        <w:t>,</w:t>
      </w:r>
      <w:r w:rsidRPr="00C63434">
        <w:rPr>
          <w:sz w:val="24"/>
        </w:rPr>
        <w:t xml:space="preserve"> there are five stores with outstanding debts across two Areas, which is making debt recovery more challenging. Letters have been sent to all stores. </w:t>
      </w:r>
      <w:r w:rsidR="00F14C08">
        <w:rPr>
          <w:sz w:val="24"/>
        </w:rPr>
        <w:t>Two</w:t>
      </w:r>
      <w:r w:rsidRPr="00C63434">
        <w:rPr>
          <w:sz w:val="24"/>
        </w:rPr>
        <w:t xml:space="preserve"> have responded promising to pay but payment has not been forthcoming</w:t>
      </w:r>
      <w:r w:rsidR="00D24098">
        <w:rPr>
          <w:sz w:val="24"/>
        </w:rPr>
        <w:t xml:space="preserve">. </w:t>
      </w:r>
      <w:r w:rsidR="001447B9">
        <w:rPr>
          <w:sz w:val="24"/>
        </w:rPr>
        <w:t xml:space="preserve">Further </w:t>
      </w:r>
      <w:r w:rsidRPr="00C63434">
        <w:rPr>
          <w:sz w:val="24"/>
        </w:rPr>
        <w:t>contact will be made with stores who have promised to pay to confirm status. If payment is not received</w:t>
      </w:r>
      <w:r w:rsidR="00DF1E61">
        <w:rPr>
          <w:sz w:val="24"/>
        </w:rPr>
        <w:t xml:space="preserve">, </w:t>
      </w:r>
      <w:r w:rsidRPr="00C63434">
        <w:rPr>
          <w:sz w:val="24"/>
        </w:rPr>
        <w:t>this will be referred to Finance for debt recovery by NW/SE jointly.</w:t>
      </w:r>
    </w:p>
    <w:p w:rsidR="002D6F4A" w:rsidRPr="00C63434" w:rsidRDefault="002D6F4A" w:rsidP="002D6F4A">
      <w:pPr>
        <w:contextualSpacing/>
        <w:rPr>
          <w:sz w:val="24"/>
          <w:u w:val="single"/>
        </w:rPr>
      </w:pPr>
      <w:r w:rsidRPr="00C63434">
        <w:rPr>
          <w:sz w:val="24"/>
          <w:u w:val="single"/>
        </w:rPr>
        <w:t>Royal Borough of Greenwich:</w:t>
      </w:r>
    </w:p>
    <w:p w:rsidR="002D6F4A" w:rsidRPr="00C63434" w:rsidRDefault="007D64BC" w:rsidP="002D6F4A">
      <w:pPr>
        <w:contextualSpacing/>
        <w:rPr>
          <w:sz w:val="24"/>
        </w:rPr>
      </w:pPr>
      <w:r w:rsidRPr="00C63434">
        <w:rPr>
          <w:sz w:val="24"/>
        </w:rPr>
        <w:t>Greenwich have paid 2</w:t>
      </w:r>
      <w:r w:rsidR="009C4838" w:rsidRPr="00C63434">
        <w:rPr>
          <w:sz w:val="24"/>
        </w:rPr>
        <w:t>2</w:t>
      </w:r>
      <w:r w:rsidRPr="00C63434">
        <w:rPr>
          <w:sz w:val="24"/>
        </w:rPr>
        <w:t xml:space="preserve"> invoices since last reported in September</w:t>
      </w:r>
      <w:r w:rsidR="009C4838" w:rsidRPr="00C63434">
        <w:rPr>
          <w:sz w:val="24"/>
        </w:rPr>
        <w:t>. T</w:t>
      </w:r>
      <w:r w:rsidR="00665B17" w:rsidRPr="00C63434">
        <w:rPr>
          <w:sz w:val="24"/>
        </w:rPr>
        <w:t>he majority of</w:t>
      </w:r>
      <w:r w:rsidR="001447B9">
        <w:rPr>
          <w:sz w:val="24"/>
        </w:rPr>
        <w:t xml:space="preserve"> the</w:t>
      </w:r>
      <w:r w:rsidR="00665B17" w:rsidRPr="00C63434">
        <w:rPr>
          <w:sz w:val="24"/>
        </w:rPr>
        <w:t xml:space="preserve"> invoices outstanding were issued in the last </w:t>
      </w:r>
      <w:r w:rsidR="009C4838" w:rsidRPr="00C63434">
        <w:rPr>
          <w:sz w:val="24"/>
        </w:rPr>
        <w:t>quarter</w:t>
      </w:r>
      <w:r w:rsidR="001447B9">
        <w:rPr>
          <w:sz w:val="24"/>
        </w:rPr>
        <w:t xml:space="preserve"> and</w:t>
      </w:r>
      <w:r w:rsidR="009C4838" w:rsidRPr="00C63434">
        <w:rPr>
          <w:sz w:val="24"/>
        </w:rPr>
        <w:t xml:space="preserve"> LFB will continue to work with RB Greenwich to clear the</w:t>
      </w:r>
      <w:r w:rsidR="00DF1E61">
        <w:rPr>
          <w:sz w:val="24"/>
        </w:rPr>
        <w:t>ir</w:t>
      </w:r>
      <w:r w:rsidR="009C4838" w:rsidRPr="00C63434">
        <w:rPr>
          <w:sz w:val="24"/>
        </w:rPr>
        <w:t xml:space="preserve"> outstanding balance. </w:t>
      </w:r>
    </w:p>
    <w:p w:rsidR="002D6F4A" w:rsidRPr="002755ED" w:rsidRDefault="002D6F4A" w:rsidP="002D6F4A">
      <w:pPr>
        <w:contextualSpacing/>
        <w:rPr>
          <w:sz w:val="24"/>
          <w:highlight w:val="yellow"/>
        </w:rPr>
      </w:pPr>
    </w:p>
    <w:p w:rsidR="002D6F4A" w:rsidRPr="00D026A0" w:rsidRDefault="002D6F4A" w:rsidP="002F2557">
      <w:pPr>
        <w:rPr>
          <w:sz w:val="24"/>
        </w:rPr>
      </w:pPr>
    </w:p>
    <w:sectPr w:rsidR="002D6F4A" w:rsidRPr="00D026A0" w:rsidSect="00886BE8">
      <w:headerReference w:type="default" r:id="rId24"/>
      <w:pgSz w:w="11907" w:h="16840" w:code="9"/>
      <w:pgMar w:top="1252" w:right="1134" w:bottom="1134"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702" w:rsidRDefault="009E0702" w:rsidP="00113F87">
      <w:pPr>
        <w:pStyle w:val="Heading"/>
      </w:pPr>
      <w:r>
        <w:separator/>
      </w:r>
    </w:p>
  </w:endnote>
  <w:endnote w:type="continuationSeparator" w:id="0">
    <w:p w:rsidR="009E0702" w:rsidRDefault="009E0702" w:rsidP="00113F87">
      <w:pPr>
        <w:pStyle w:val="Heading"/>
      </w:pPr>
      <w:r>
        <w:continuationSeparator/>
      </w:r>
    </w:p>
  </w:endnote>
  <w:endnote w:type="continuationNotice" w:id="1">
    <w:p w:rsidR="009E0702" w:rsidRDefault="009E0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ans">
    <w:panose1 w:val="02000503000000020003"/>
    <w:charset w:val="00"/>
    <w:family w:val="auto"/>
    <w:pitch w:val="variable"/>
    <w:sig w:usb0="800000A7" w:usb1="00000040" w:usb2="00000000" w:usb3="00000000" w:csb0="00000001" w:csb1="00000000"/>
    <w:embedRegular r:id="rId1" w:fontKey="{B88ADFDC-C5CD-40F2-A776-B08F74F8D7CB}"/>
    <w:embedBold r:id="rId2" w:fontKey="{ABB66CAA-0190-434C-AD4B-E4C07A5A34DE}"/>
    <w:embedItalic r:id="rId3" w:fontKey="{A6EFCA9E-E5D2-4AC9-B23C-EEDDCE8F990A}"/>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702" w:rsidRDefault="009E0702" w:rsidP="00113F87">
      <w:pPr>
        <w:pStyle w:val="Heading"/>
      </w:pPr>
      <w:r>
        <w:separator/>
      </w:r>
    </w:p>
  </w:footnote>
  <w:footnote w:type="continuationSeparator" w:id="0">
    <w:p w:rsidR="009E0702" w:rsidRDefault="009E0702" w:rsidP="00113F87">
      <w:pPr>
        <w:pStyle w:val="Heading"/>
      </w:pPr>
      <w:r>
        <w:continuationSeparator/>
      </w:r>
    </w:p>
  </w:footnote>
  <w:footnote w:type="continuationNotice" w:id="1">
    <w:p w:rsidR="009E0702" w:rsidRDefault="009E07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Default="00C70458">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Pr="00A940BB" w:rsidRDefault="00C70458" w:rsidP="00E00B94">
    <w:pPr>
      <w:pStyle w:val="Header"/>
      <w:tabs>
        <w:tab w:val="clear" w:pos="8640"/>
        <w:tab w:val="left" w:pos="6804"/>
        <w:tab w:val="right" w:pos="9498"/>
      </w:tabs>
      <w:spacing w:after="1240"/>
      <w:jc w:val="both"/>
      <w:rPr>
        <w:b/>
        <w:sz w:val="36"/>
        <w:szCs w:val="36"/>
      </w:rPr>
    </w:pPr>
    <w:r>
      <w:rPr>
        <w:noProof/>
        <w:lang w:eastAsia="en-GB"/>
      </w:rPr>
      <w:drawing>
        <wp:anchor distT="0" distB="0" distL="114300" distR="114300" simplePos="0" relativeHeight="251657216" behindDoc="0" locked="0" layoutInCell="1" allowOverlap="1" wp14:anchorId="7E2FB3AD" wp14:editId="070CF8D9">
          <wp:simplePos x="0" y="0"/>
          <wp:positionH relativeFrom="column">
            <wp:posOffset>3810</wp:posOffset>
          </wp:positionH>
          <wp:positionV relativeFrom="paragraph">
            <wp:posOffset>-2540</wp:posOffset>
          </wp:positionV>
          <wp:extent cx="2171700" cy="523875"/>
          <wp:effectExtent l="0" t="0" r="0" b="9525"/>
          <wp:wrapNone/>
          <wp:docPr id="3" name="Picture 1" descr="LFEPA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EPA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3851B2">
      <w:rPr>
        <w:b/>
        <w:sz w:val="36"/>
        <w:szCs w:val="36"/>
      </w:rPr>
      <w:t xml:space="preserve">Agenda item: </w:t>
    </w:r>
    <w:bookmarkStart w:id="7" w:name="AgendaItem"/>
    <w:r>
      <w:rPr>
        <w:b/>
        <w:sz w:val="36"/>
        <w:szCs w:val="36"/>
      </w:rPr>
      <w:t>00</w:t>
    </w:r>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Pr="00354533" w:rsidRDefault="00C70458" w:rsidP="002961F5">
    <w:pPr>
      <w:pStyle w:val="Header"/>
      <w:tabs>
        <w:tab w:val="clear" w:pos="4320"/>
        <w:tab w:val="clear" w:pos="8640"/>
        <w:tab w:val="right" w:pos="13892"/>
      </w:tabs>
      <w:rPr>
        <w:b/>
        <w:sz w:val="26"/>
        <w:szCs w:val="26"/>
      </w:rPr>
    </w:pPr>
    <w:r w:rsidRPr="008646D4">
      <w:rPr>
        <w:b/>
        <w:sz w:val="26"/>
        <w:szCs w:val="26"/>
      </w:rPr>
      <w:t xml:space="preserve">Financial Position, </w:t>
    </w:r>
    <w:r>
      <w:rPr>
        <w:b/>
        <w:sz w:val="26"/>
        <w:szCs w:val="26"/>
      </w:rPr>
      <w:t>2017/18 Forecast</w:t>
    </w:r>
    <w:r w:rsidRPr="008646D4">
      <w:rPr>
        <w:b/>
        <w:sz w:val="26"/>
        <w:szCs w:val="26"/>
      </w:rPr>
      <w:t xml:space="preserve"> </w:t>
    </w:r>
    <w:r>
      <w:rPr>
        <w:b/>
        <w:sz w:val="26"/>
        <w:szCs w:val="26"/>
      </w:rPr>
      <w:t>O</w:t>
    </w:r>
    <w:r w:rsidRPr="008646D4">
      <w:rPr>
        <w:b/>
        <w:sz w:val="26"/>
        <w:szCs w:val="26"/>
      </w:rPr>
      <w:t>utturn</w:t>
    </w:r>
    <w:r>
      <w:rPr>
        <w:b/>
        <w:sz w:val="26"/>
        <w:szCs w:val="26"/>
      </w:rPr>
      <w:t xml:space="preserve"> </w:t>
    </w:r>
    <w:r>
      <w:rPr>
        <w:b/>
        <w:sz w:val="26"/>
        <w:szCs w:val="26"/>
      </w:rPr>
      <w:tab/>
      <w:t>Appendix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Pr="00CD4928" w:rsidRDefault="009E0702" w:rsidP="002961F5">
    <w:pPr>
      <w:pStyle w:val="Header"/>
      <w:tabs>
        <w:tab w:val="clear" w:pos="4320"/>
        <w:tab w:val="clear" w:pos="8640"/>
        <w:tab w:val="right" w:pos="13750"/>
      </w:tabs>
      <w:spacing w:after="0"/>
      <w:rPr>
        <w:b/>
        <w:sz w:val="36"/>
        <w:szCs w:val="36"/>
      </w:rPr>
    </w:pPr>
    <w:r>
      <w:rPr>
        <w:b/>
        <w:noProof/>
        <w:sz w:val="36"/>
        <w:szCs w:val="36"/>
        <w:lang w:eastAsia="en-GB"/>
      </w:rPr>
      <w:pict w14:anchorId="548FF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Foundry Sans&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Pr="004D2FCC" w:rsidRDefault="00C70458" w:rsidP="00B20274">
    <w:pPr>
      <w:tabs>
        <w:tab w:val="right" w:pos="14175"/>
      </w:tabs>
      <w:spacing w:after="0" w:line="240" w:lineRule="auto"/>
    </w:pPr>
    <w:r w:rsidRPr="00A53D72">
      <w:rPr>
        <w:b/>
        <w:sz w:val="26"/>
        <w:szCs w:val="26"/>
        <w:lang w:eastAsia="en-GB"/>
      </w:rPr>
      <w:t xml:space="preserve">2017/18 </w:t>
    </w:r>
    <w:r>
      <w:rPr>
        <w:b/>
        <w:bCs/>
        <w:sz w:val="26"/>
        <w:szCs w:val="26"/>
        <w:lang w:eastAsia="en-GB"/>
      </w:rPr>
      <w:t xml:space="preserve">CAPITAL PROGRAMME                                                                </w:t>
    </w:r>
    <w:r w:rsidRPr="00A53D72">
      <w:rPr>
        <w:b/>
        <w:bCs/>
        <w:sz w:val="26"/>
        <w:szCs w:val="26"/>
        <w:lang w:eastAsia="en-GB"/>
      </w:rPr>
      <w:t>APPENDIX 2</w:t>
    </w:r>
    <w:r w:rsidRPr="003F6368">
      <w:rPr>
        <w:b/>
        <w:sz w:val="26"/>
        <w:szCs w:val="26"/>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Pr="006969D5" w:rsidRDefault="00C70458" w:rsidP="005D7E86">
    <w:pPr>
      <w:tabs>
        <w:tab w:val="right" w:pos="9356"/>
      </w:tabs>
      <w:rPr>
        <w:sz w:val="26"/>
        <w:szCs w:val="26"/>
      </w:rPr>
    </w:pPr>
    <w:r w:rsidRPr="006969D5">
      <w:rPr>
        <w:b/>
        <w:sz w:val="26"/>
        <w:szCs w:val="26"/>
      </w:rPr>
      <w:t xml:space="preserve">Risks to the </w:t>
    </w:r>
    <w:r>
      <w:rPr>
        <w:b/>
        <w:sz w:val="26"/>
        <w:szCs w:val="26"/>
      </w:rPr>
      <w:t>Revenue and Capital</w:t>
    </w:r>
    <w:r w:rsidRPr="006969D5">
      <w:rPr>
        <w:b/>
        <w:sz w:val="26"/>
        <w:szCs w:val="26"/>
      </w:rPr>
      <w:t xml:space="preserve"> Position</w:t>
    </w:r>
    <w:r w:rsidRPr="006969D5">
      <w:rPr>
        <w:b/>
        <w:sz w:val="26"/>
        <w:szCs w:val="26"/>
      </w:rPr>
      <w:tab/>
      <w:t xml:space="preserve">Appendix </w:t>
    </w:r>
    <w:r>
      <w:rPr>
        <w:b/>
        <w:sz w:val="26"/>
        <w:szCs w:val="26"/>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Pr="006969D5" w:rsidRDefault="00C70458" w:rsidP="005D7E86">
    <w:pPr>
      <w:tabs>
        <w:tab w:val="right" w:pos="9356"/>
      </w:tabs>
      <w:rPr>
        <w:sz w:val="26"/>
        <w:szCs w:val="26"/>
      </w:rPr>
    </w:pPr>
    <w:r>
      <w:rPr>
        <w:b/>
        <w:sz w:val="26"/>
        <w:szCs w:val="26"/>
      </w:rPr>
      <w:t>B</w:t>
    </w:r>
    <w:r w:rsidRPr="005D1F66">
      <w:rPr>
        <w:b/>
        <w:sz w:val="26"/>
        <w:szCs w:val="26"/>
      </w:rPr>
      <w:t xml:space="preserve">udget </w:t>
    </w:r>
    <w:r>
      <w:rPr>
        <w:b/>
        <w:sz w:val="26"/>
        <w:szCs w:val="26"/>
      </w:rPr>
      <w:t>V</w:t>
    </w:r>
    <w:r w:rsidRPr="005D1F66">
      <w:rPr>
        <w:b/>
        <w:sz w:val="26"/>
        <w:szCs w:val="26"/>
      </w:rPr>
      <w:t xml:space="preserve">irements </w:t>
    </w:r>
    <w:r>
      <w:rPr>
        <w:b/>
        <w:sz w:val="26"/>
        <w:szCs w:val="26"/>
      </w:rPr>
      <w:t>Actioned Under F</w:t>
    </w:r>
    <w:r w:rsidRPr="005D1F66">
      <w:rPr>
        <w:b/>
        <w:sz w:val="26"/>
        <w:szCs w:val="26"/>
      </w:rPr>
      <w:t xml:space="preserve">inancial </w:t>
    </w:r>
    <w:r>
      <w:rPr>
        <w:b/>
        <w:sz w:val="26"/>
        <w:szCs w:val="26"/>
      </w:rPr>
      <w:t>R</w:t>
    </w:r>
    <w:r w:rsidRPr="005D1F66">
      <w:rPr>
        <w:b/>
        <w:sz w:val="26"/>
        <w:szCs w:val="26"/>
      </w:rPr>
      <w:t>egulation 9</w:t>
    </w:r>
    <w:r w:rsidRPr="006969D5">
      <w:rPr>
        <w:b/>
        <w:sz w:val="26"/>
        <w:szCs w:val="26"/>
      </w:rPr>
      <w:tab/>
      <w:t xml:space="preserve">Appendix </w:t>
    </w:r>
    <w:r>
      <w:rPr>
        <w:b/>
        <w:sz w:val="26"/>
        <w:szCs w:val="26"/>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58" w:rsidRPr="006969D5" w:rsidRDefault="00C70458" w:rsidP="005D7E86">
    <w:pPr>
      <w:tabs>
        <w:tab w:val="right" w:pos="9356"/>
      </w:tabs>
      <w:rPr>
        <w:sz w:val="26"/>
        <w:szCs w:val="26"/>
      </w:rPr>
    </w:pPr>
    <w:r>
      <w:rPr>
        <w:b/>
        <w:sz w:val="26"/>
        <w:szCs w:val="26"/>
      </w:rPr>
      <w:t>Outstanding Shut-in-Lift (SIL) debtors</w:t>
    </w:r>
    <w:r w:rsidRPr="006969D5">
      <w:rPr>
        <w:b/>
        <w:sz w:val="26"/>
        <w:szCs w:val="26"/>
      </w:rPr>
      <w:tab/>
      <w:t xml:space="preserve">Appendix </w:t>
    </w:r>
    <w:r>
      <w:rPr>
        <w:b/>
        <w:sz w:val="26"/>
        <w:szCs w:val="2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554"/>
    <w:multiLevelType w:val="hybridMultilevel"/>
    <w:tmpl w:val="2AC635F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04364C"/>
    <w:multiLevelType w:val="hybridMultilevel"/>
    <w:tmpl w:val="D4401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BC14DC"/>
    <w:multiLevelType w:val="hybridMultilevel"/>
    <w:tmpl w:val="D5EC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6B6848"/>
    <w:multiLevelType w:val="hybridMultilevel"/>
    <w:tmpl w:val="C7F6CD6E"/>
    <w:lvl w:ilvl="0" w:tplc="292CC094">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8D0EF1"/>
    <w:multiLevelType w:val="hybridMultilevel"/>
    <w:tmpl w:val="B170B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C46BDE"/>
    <w:multiLevelType w:val="hybridMultilevel"/>
    <w:tmpl w:val="ACB64CF6"/>
    <w:lvl w:ilvl="0" w:tplc="65027724">
      <w:start w:val="1"/>
      <w:numFmt w:val="decimal"/>
      <w:pStyle w:val="NumbList"/>
      <w:lvlText w:val="%1."/>
      <w:lvlJc w:val="left"/>
      <w:pPr>
        <w:tabs>
          <w:tab w:val="num" w:pos="624"/>
        </w:tabs>
        <w:ind w:left="624" w:hanging="340"/>
      </w:pPr>
      <w:rPr>
        <w:rFonts w:ascii="Foundry Sans" w:hAnsi="Foundry Sans" w:hint="default"/>
        <w:b w:val="0"/>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5F25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9B44AB"/>
    <w:multiLevelType w:val="hybridMultilevel"/>
    <w:tmpl w:val="09BCE5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18814735"/>
    <w:multiLevelType w:val="hybridMultilevel"/>
    <w:tmpl w:val="DE482390"/>
    <w:lvl w:ilvl="0" w:tplc="BD561AA4">
      <w:start w:val="1"/>
      <w:numFmt w:val="decimal"/>
      <w:lvlText w:val="%1."/>
      <w:lvlJc w:val="left"/>
      <w:pPr>
        <w:ind w:left="502" w:hanging="360"/>
      </w:pPr>
      <w:rPr>
        <w:rFonts w:ascii="Foundry Sans" w:hAnsi="Foundry San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872DB4"/>
    <w:multiLevelType w:val="hybridMultilevel"/>
    <w:tmpl w:val="311A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965709"/>
    <w:multiLevelType w:val="hybridMultilevel"/>
    <w:tmpl w:val="7A14A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A53362"/>
    <w:multiLevelType w:val="hybridMultilevel"/>
    <w:tmpl w:val="021AFDB0"/>
    <w:lvl w:ilvl="0" w:tplc="EC44AD3E">
      <w:start w:val="1"/>
      <w:numFmt w:val="bullet"/>
      <w:lvlText w:val="-"/>
      <w:lvlJc w:val="left"/>
      <w:pPr>
        <w:ind w:left="720" w:hanging="360"/>
      </w:pPr>
      <w:rPr>
        <w:rFonts w:ascii="Foundry Sans" w:eastAsia="Calibri" w:hAnsi="Foundry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29432B"/>
    <w:multiLevelType w:val="hybridMultilevel"/>
    <w:tmpl w:val="F89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753DF7"/>
    <w:multiLevelType w:val="hybridMultilevel"/>
    <w:tmpl w:val="8E586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FF81295"/>
    <w:multiLevelType w:val="hybridMultilevel"/>
    <w:tmpl w:val="AA72434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nsid w:val="21A45BD5"/>
    <w:multiLevelType w:val="hybridMultilevel"/>
    <w:tmpl w:val="F1A8659C"/>
    <w:lvl w:ilvl="0" w:tplc="CEE0DD0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DB05A2"/>
    <w:multiLevelType w:val="hybridMultilevel"/>
    <w:tmpl w:val="E63E5404"/>
    <w:lvl w:ilvl="0" w:tplc="76CAB21E">
      <w:start w:val="1"/>
      <w:numFmt w:val="bullet"/>
      <w:pStyle w:val="Bullet2"/>
      <w:lvlText w:val=""/>
      <w:lvlJc w:val="left"/>
      <w:pPr>
        <w:tabs>
          <w:tab w:val="num" w:pos="907"/>
        </w:tabs>
        <w:ind w:left="907"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7C729B0"/>
    <w:multiLevelType w:val="hybridMultilevel"/>
    <w:tmpl w:val="4754D318"/>
    <w:lvl w:ilvl="0" w:tplc="292CC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F87D70"/>
    <w:multiLevelType w:val="hybridMultilevel"/>
    <w:tmpl w:val="2C9844C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2FFA4F44"/>
    <w:multiLevelType w:val="hybridMultilevel"/>
    <w:tmpl w:val="44D4E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1EA2169"/>
    <w:multiLevelType w:val="hybridMultilevel"/>
    <w:tmpl w:val="BEC05E28"/>
    <w:lvl w:ilvl="0" w:tplc="292CC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87680C"/>
    <w:multiLevelType w:val="hybridMultilevel"/>
    <w:tmpl w:val="14A2E444"/>
    <w:lvl w:ilvl="0" w:tplc="292CC09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E42C84"/>
    <w:multiLevelType w:val="hybridMultilevel"/>
    <w:tmpl w:val="EAB8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B20A8E"/>
    <w:multiLevelType w:val="hybridMultilevel"/>
    <w:tmpl w:val="560A55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nsid w:val="36F35533"/>
    <w:multiLevelType w:val="hybridMultilevel"/>
    <w:tmpl w:val="14A2E444"/>
    <w:lvl w:ilvl="0" w:tplc="292CC09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7305C96"/>
    <w:multiLevelType w:val="hybridMultilevel"/>
    <w:tmpl w:val="85C8D5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7306F1C"/>
    <w:multiLevelType w:val="hybridMultilevel"/>
    <w:tmpl w:val="A9E2F05E"/>
    <w:lvl w:ilvl="0" w:tplc="EF7E331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7F73C42"/>
    <w:multiLevelType w:val="hybridMultilevel"/>
    <w:tmpl w:val="8A80CAF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AF33A2D"/>
    <w:multiLevelType w:val="hybridMultilevel"/>
    <w:tmpl w:val="1368B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CA30B77"/>
    <w:multiLevelType w:val="hybridMultilevel"/>
    <w:tmpl w:val="25E8A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3EEC3602"/>
    <w:multiLevelType w:val="hybridMultilevel"/>
    <w:tmpl w:val="B36812F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75A10BA"/>
    <w:multiLevelType w:val="multilevel"/>
    <w:tmpl w:val="6FAA407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1109F7"/>
    <w:multiLevelType w:val="hybridMultilevel"/>
    <w:tmpl w:val="52086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2031465"/>
    <w:multiLevelType w:val="hybridMultilevel"/>
    <w:tmpl w:val="443AEC00"/>
    <w:lvl w:ilvl="0" w:tplc="EF7E3318">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6EB4186"/>
    <w:multiLevelType w:val="hybridMultilevel"/>
    <w:tmpl w:val="46A46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1D4CEE"/>
    <w:multiLevelType w:val="hybridMultilevel"/>
    <w:tmpl w:val="2A2A032C"/>
    <w:lvl w:ilvl="0" w:tplc="0ED69C6A">
      <w:start w:val="2"/>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6">
    <w:nsid w:val="5B150D40"/>
    <w:multiLevelType w:val="hybridMultilevel"/>
    <w:tmpl w:val="1E5897B0"/>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BA3E43"/>
    <w:multiLevelType w:val="hybridMultilevel"/>
    <w:tmpl w:val="C3ECC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CA9076C"/>
    <w:multiLevelType w:val="hybridMultilevel"/>
    <w:tmpl w:val="F8D4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D624427"/>
    <w:multiLevelType w:val="hybridMultilevel"/>
    <w:tmpl w:val="DA84846C"/>
    <w:lvl w:ilvl="0" w:tplc="3766C3A2">
      <w:start w:val="1"/>
      <w:numFmt w:val="bullet"/>
      <w:pStyle w:val="Bullet"/>
      <w:lvlText w:val="•"/>
      <w:lvlJc w:val="left"/>
      <w:pPr>
        <w:tabs>
          <w:tab w:val="num" w:pos="340"/>
        </w:tabs>
        <w:ind w:left="340" w:hanging="340"/>
      </w:pPr>
      <w:rPr>
        <w:rFonts w:ascii="Palatino Linotype" w:hAnsi="Palatino Linotype" w:hint="default"/>
        <w:color w:val="003A1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7C0573"/>
    <w:multiLevelType w:val="multilevel"/>
    <w:tmpl w:val="0809001F"/>
    <w:lvl w:ilvl="0">
      <w:start w:val="1"/>
      <w:numFmt w:val="decimal"/>
      <w:lvlText w:val="%1."/>
      <w:lvlJc w:val="left"/>
      <w:pPr>
        <w:ind w:left="360" w:hanging="360"/>
      </w:pPr>
    </w:lvl>
    <w:lvl w:ilvl="1">
      <w:start w:val="1"/>
      <w:numFmt w:val="decimal"/>
      <w:lvlText w:val="%1.%2."/>
      <w:lvlJc w:val="left"/>
      <w:pPr>
        <w:ind w:left="993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2937802"/>
    <w:multiLevelType w:val="hybridMultilevel"/>
    <w:tmpl w:val="795E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D653A8"/>
    <w:multiLevelType w:val="hybridMultilevel"/>
    <w:tmpl w:val="36E0B1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67A6127C"/>
    <w:multiLevelType w:val="hybridMultilevel"/>
    <w:tmpl w:val="943E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2B63F6"/>
    <w:multiLevelType w:val="hybridMultilevel"/>
    <w:tmpl w:val="FC7A6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FE62FE"/>
    <w:multiLevelType w:val="hybridMultilevel"/>
    <w:tmpl w:val="D304D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D601564"/>
    <w:multiLevelType w:val="hybridMultilevel"/>
    <w:tmpl w:val="F6189BDE"/>
    <w:lvl w:ilvl="0" w:tplc="292CC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D83668E"/>
    <w:multiLevelType w:val="hybridMultilevel"/>
    <w:tmpl w:val="4F666F30"/>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39"/>
  </w:num>
  <w:num w:numId="3">
    <w:abstractNumId w:val="5"/>
    <w:lvlOverride w:ilvl="0">
      <w:startOverride w:val="1"/>
    </w:lvlOverride>
  </w:num>
  <w:num w:numId="4">
    <w:abstractNumId w:val="5"/>
    <w:lvlOverride w:ilvl="0">
      <w:startOverride w:val="1"/>
    </w:lvlOverride>
  </w:num>
  <w:num w:numId="5">
    <w:abstractNumId w:val="16"/>
  </w:num>
  <w:num w:numId="6">
    <w:abstractNumId w:val="34"/>
  </w:num>
  <w:num w:numId="7">
    <w:abstractNumId w:val="21"/>
  </w:num>
  <w:num w:numId="8">
    <w:abstractNumId w:val="1"/>
  </w:num>
  <w:num w:numId="9">
    <w:abstractNumId w:val="13"/>
  </w:num>
  <w:num w:numId="10">
    <w:abstractNumId w:val="5"/>
  </w:num>
  <w:num w:numId="11">
    <w:abstractNumId w:val="19"/>
  </w:num>
  <w:num w:numId="12">
    <w:abstractNumId w:val="8"/>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31"/>
  </w:num>
  <w:num w:numId="17">
    <w:abstractNumId w:val="35"/>
  </w:num>
  <w:num w:numId="18">
    <w:abstractNumId w:val="29"/>
  </w:num>
  <w:num w:numId="19">
    <w:abstractNumId w:val="22"/>
  </w:num>
  <w:num w:numId="20">
    <w:abstractNumId w:val="12"/>
  </w:num>
  <w:num w:numId="21">
    <w:abstractNumId w:val="36"/>
  </w:num>
  <w:num w:numId="22">
    <w:abstractNumId w:val="5"/>
  </w:num>
  <w:num w:numId="23">
    <w:abstractNumId w:val="5"/>
  </w:num>
  <w:num w:numId="24">
    <w:abstractNumId w:val="30"/>
  </w:num>
  <w:num w:numId="25">
    <w:abstractNumId w:val="27"/>
  </w:num>
  <w:num w:numId="26">
    <w:abstractNumId w:val="47"/>
  </w:num>
  <w:num w:numId="27">
    <w:abstractNumId w:val="44"/>
  </w:num>
  <w:num w:numId="28">
    <w:abstractNumId w:val="0"/>
  </w:num>
  <w:num w:numId="29">
    <w:abstractNumId w:val="23"/>
  </w:num>
  <w:num w:numId="30">
    <w:abstractNumId w:val="18"/>
  </w:num>
  <w:num w:numId="31">
    <w:abstractNumId w:val="7"/>
  </w:num>
  <w:num w:numId="32">
    <w:abstractNumId w:val="5"/>
  </w:num>
  <w:num w:numId="33">
    <w:abstractNumId w:val="46"/>
  </w:num>
  <w:num w:numId="34">
    <w:abstractNumId w:val="20"/>
  </w:num>
  <w:num w:numId="35">
    <w:abstractNumId w:val="40"/>
  </w:num>
  <w:num w:numId="36">
    <w:abstractNumId w:val="37"/>
  </w:num>
  <w:num w:numId="37">
    <w:abstractNumId w:val="5"/>
  </w:num>
  <w:num w:numId="38">
    <w:abstractNumId w:val="5"/>
  </w:num>
  <w:num w:numId="39">
    <w:abstractNumId w:val="5"/>
  </w:num>
  <w:num w:numId="40">
    <w:abstractNumId w:val="5"/>
  </w:num>
  <w:num w:numId="41">
    <w:abstractNumId w:val="5"/>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 w:numId="48">
    <w:abstractNumId w:val="5"/>
  </w:num>
  <w:num w:numId="49">
    <w:abstractNumId w:val="4"/>
  </w:num>
  <w:num w:numId="50">
    <w:abstractNumId w:val="5"/>
  </w:num>
  <w:num w:numId="51">
    <w:abstractNumId w:val="17"/>
  </w:num>
  <w:num w:numId="52">
    <w:abstractNumId w:val="5"/>
  </w:num>
  <w:num w:numId="53">
    <w:abstractNumId w:val="5"/>
  </w:num>
  <w:num w:numId="54">
    <w:abstractNumId w:val="5"/>
  </w:num>
  <w:num w:numId="55">
    <w:abstractNumId w:val="5"/>
  </w:num>
  <w:num w:numId="56">
    <w:abstractNumId w:val="5"/>
  </w:num>
  <w:num w:numId="57">
    <w:abstractNumId w:val="5"/>
  </w:num>
  <w:num w:numId="58">
    <w:abstractNumId w:val="5"/>
  </w:num>
  <w:num w:numId="59">
    <w:abstractNumId w:val="5"/>
  </w:num>
  <w:num w:numId="60">
    <w:abstractNumId w:val="6"/>
  </w:num>
  <w:num w:numId="61">
    <w:abstractNumId w:val="5"/>
  </w:num>
  <w:num w:numId="62">
    <w:abstractNumId w:val="5"/>
  </w:num>
  <w:num w:numId="63">
    <w:abstractNumId w:val="5"/>
  </w:num>
  <w:num w:numId="64">
    <w:abstractNumId w:val="43"/>
  </w:num>
  <w:num w:numId="65">
    <w:abstractNumId w:val="11"/>
  </w:num>
  <w:num w:numId="66">
    <w:abstractNumId w:val="25"/>
  </w:num>
  <w:num w:numId="67">
    <w:abstractNumId w:val="5"/>
  </w:num>
  <w:num w:numId="68">
    <w:abstractNumId w:val="5"/>
  </w:num>
  <w:num w:numId="69">
    <w:abstractNumId w:val="5"/>
  </w:num>
  <w:num w:numId="70">
    <w:abstractNumId w:val="5"/>
  </w:num>
  <w:num w:numId="71">
    <w:abstractNumId w:val="5"/>
  </w:num>
  <w:num w:numId="72">
    <w:abstractNumId w:val="5"/>
  </w:num>
  <w:num w:numId="73">
    <w:abstractNumId w:val="5"/>
  </w:num>
  <w:num w:numId="74">
    <w:abstractNumId w:val="5"/>
  </w:num>
  <w:num w:numId="75">
    <w:abstractNumId w:val="5"/>
  </w:num>
  <w:num w:numId="76">
    <w:abstractNumId w:val="14"/>
  </w:num>
  <w:num w:numId="77">
    <w:abstractNumId w:val="28"/>
  </w:num>
  <w:num w:numId="78">
    <w:abstractNumId w:val="3"/>
  </w:num>
  <w:num w:numId="79">
    <w:abstractNumId w:val="5"/>
  </w:num>
  <w:num w:numId="80">
    <w:abstractNumId w:val="5"/>
  </w:num>
  <w:num w:numId="81">
    <w:abstractNumId w:val="5"/>
  </w:num>
  <w:num w:numId="82">
    <w:abstractNumId w:val="5"/>
  </w:num>
  <w:num w:numId="83">
    <w:abstractNumId w:val="5"/>
  </w:num>
  <w:num w:numId="84">
    <w:abstractNumId w:val="5"/>
  </w:num>
  <w:num w:numId="85">
    <w:abstractNumId w:val="5"/>
  </w:num>
  <w:num w:numId="86">
    <w:abstractNumId w:val="5"/>
  </w:num>
  <w:num w:numId="87">
    <w:abstractNumId w:val="5"/>
  </w:num>
  <w:num w:numId="88">
    <w:abstractNumId w:val="5"/>
  </w:num>
  <w:num w:numId="89">
    <w:abstractNumId w:val="5"/>
  </w:num>
  <w:num w:numId="90">
    <w:abstractNumId w:val="5"/>
  </w:num>
  <w:num w:numId="91">
    <w:abstractNumId w:val="5"/>
  </w:num>
  <w:num w:numId="92">
    <w:abstractNumId w:val="5"/>
  </w:num>
  <w:num w:numId="93">
    <w:abstractNumId w:val="5"/>
  </w:num>
  <w:num w:numId="94">
    <w:abstractNumId w:val="5"/>
  </w:num>
  <w:num w:numId="95">
    <w:abstractNumId w:val="5"/>
  </w:num>
  <w:num w:numId="96">
    <w:abstractNumId w:val="5"/>
  </w:num>
  <w:num w:numId="97">
    <w:abstractNumId w:val="5"/>
  </w:num>
  <w:num w:numId="98">
    <w:abstractNumId w:val="5"/>
  </w:num>
  <w:num w:numId="99">
    <w:abstractNumId w:val="5"/>
  </w:num>
  <w:num w:numId="100">
    <w:abstractNumId w:val="5"/>
  </w:num>
  <w:num w:numId="101">
    <w:abstractNumId w:val="5"/>
  </w:num>
  <w:num w:numId="102">
    <w:abstractNumId w:val="5"/>
  </w:num>
  <w:num w:numId="103">
    <w:abstractNumId w:val="5"/>
  </w:num>
  <w:num w:numId="104">
    <w:abstractNumId w:val="5"/>
  </w:num>
  <w:num w:numId="105">
    <w:abstractNumId w:val="5"/>
  </w:num>
  <w:num w:numId="106">
    <w:abstractNumId w:val="5"/>
  </w:num>
  <w:num w:numId="107">
    <w:abstractNumId w:val="5"/>
  </w:num>
  <w:num w:numId="108">
    <w:abstractNumId w:val="5"/>
  </w:num>
  <w:num w:numId="109">
    <w:abstractNumId w:val="5"/>
  </w:num>
  <w:num w:numId="110">
    <w:abstractNumId w:val="5"/>
  </w:num>
  <w:num w:numId="111">
    <w:abstractNumId w:val="5"/>
  </w:num>
  <w:num w:numId="112">
    <w:abstractNumId w:val="5"/>
  </w:num>
  <w:num w:numId="113">
    <w:abstractNumId w:val="5"/>
  </w:num>
  <w:num w:numId="114">
    <w:abstractNumId w:val="5"/>
  </w:num>
  <w:num w:numId="115">
    <w:abstractNumId w:val="5"/>
  </w:num>
  <w:num w:numId="116">
    <w:abstractNumId w:val="5"/>
  </w:num>
  <w:num w:numId="117">
    <w:abstractNumId w:val="5"/>
  </w:num>
  <w:num w:numId="118">
    <w:abstractNumId w:val="5"/>
  </w:num>
  <w:num w:numId="119">
    <w:abstractNumId w:val="5"/>
  </w:num>
  <w:num w:numId="120">
    <w:abstractNumId w:val="5"/>
  </w:num>
  <w:num w:numId="121">
    <w:abstractNumId w:val="5"/>
  </w:num>
  <w:num w:numId="122">
    <w:abstractNumId w:val="45"/>
  </w:num>
  <w:num w:numId="123">
    <w:abstractNumId w:val="5"/>
  </w:num>
  <w:num w:numId="124">
    <w:abstractNumId w:val="5"/>
  </w:num>
  <w:num w:numId="125">
    <w:abstractNumId w:val="5"/>
  </w:num>
  <w:num w:numId="126">
    <w:abstractNumId w:val="5"/>
  </w:num>
  <w:num w:numId="127">
    <w:abstractNumId w:val="5"/>
  </w:num>
  <w:num w:numId="128">
    <w:abstractNumId w:val="5"/>
  </w:num>
  <w:num w:numId="129">
    <w:abstractNumId w:val="5"/>
  </w:num>
  <w:num w:numId="130">
    <w:abstractNumId w:val="5"/>
  </w:num>
  <w:num w:numId="131">
    <w:abstractNumId w:val="5"/>
  </w:num>
  <w:num w:numId="132">
    <w:abstractNumId w:val="5"/>
  </w:num>
  <w:num w:numId="133">
    <w:abstractNumId w:val="5"/>
  </w:num>
  <w:num w:numId="134">
    <w:abstractNumId w:val="5"/>
  </w:num>
  <w:num w:numId="135">
    <w:abstractNumId w:val="5"/>
  </w:num>
  <w:num w:numId="136">
    <w:abstractNumId w:val="32"/>
  </w:num>
  <w:num w:numId="137">
    <w:abstractNumId w:val="15"/>
  </w:num>
  <w:num w:numId="138">
    <w:abstractNumId w:val="26"/>
  </w:num>
  <w:num w:numId="139">
    <w:abstractNumId w:val="2"/>
  </w:num>
  <w:num w:numId="140">
    <w:abstractNumId w:val="9"/>
  </w:num>
  <w:num w:numId="141">
    <w:abstractNumId w:val="38"/>
  </w:num>
  <w:num w:numId="142">
    <w:abstractNumId w:val="41"/>
  </w:num>
  <w:num w:numId="143">
    <w:abstractNumId w:val="33"/>
  </w:num>
  <w:num w:numId="144">
    <w:abstractNumId w:val="5"/>
  </w:num>
  <w:num w:numId="145">
    <w:abstractNumId w:val="5"/>
  </w:num>
  <w:num w:numId="146">
    <w:abstractNumId w:val="5"/>
  </w:num>
  <w:num w:numId="147">
    <w:abstractNumId w:val="5"/>
  </w:num>
  <w:num w:numId="148">
    <w:abstractNumId w:val="5"/>
  </w:num>
  <w:num w:numId="149">
    <w:abstractNumId w:val="5"/>
  </w:num>
  <w:num w:numId="150">
    <w:abstractNumId w:val="5"/>
  </w:num>
  <w:num w:numId="151">
    <w:abstractNumId w:val="5"/>
  </w:num>
  <w:num w:numId="152">
    <w:abstractNumId w:val="5"/>
  </w:num>
  <w:num w:numId="153">
    <w:abstractNumId w:val="5"/>
  </w:num>
  <w:num w:numId="154">
    <w:abstractNumId w:val="5"/>
  </w:num>
  <w:num w:numId="155">
    <w:abstractNumId w:val="5"/>
  </w:num>
  <w:num w:numId="156">
    <w:abstractNumId w:val="5"/>
  </w:num>
  <w:num w:numId="157">
    <w:abstractNumId w:val="5"/>
  </w:num>
  <w:num w:numId="158">
    <w:abstractNumId w:val="5"/>
  </w:num>
  <w:num w:numId="159">
    <w:abstractNumId w:val="5"/>
  </w:num>
  <w:num w:numId="160">
    <w:abstractNumId w:val="24"/>
  </w:num>
  <w:num w:numId="161">
    <w:abstractNumId w:val="5"/>
  </w:num>
  <w:num w:numId="162">
    <w:abstractNumId w:val="5"/>
  </w:num>
  <w:num w:numId="163">
    <w:abstractNumId w:val="5"/>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LetterTemplateVersion" w:val="1.0"/>
    <w:docVar w:name="DocDate" w:val="Date"/>
    <w:docVar w:name="InitialLetterTemplateVersion" w:val="1.0"/>
  </w:docVars>
  <w:rsids>
    <w:rsidRoot w:val="00FA334A"/>
    <w:rsid w:val="00001F1F"/>
    <w:rsid w:val="00002244"/>
    <w:rsid w:val="00002263"/>
    <w:rsid w:val="00002333"/>
    <w:rsid w:val="00002A38"/>
    <w:rsid w:val="000030EA"/>
    <w:rsid w:val="0000343C"/>
    <w:rsid w:val="000036DB"/>
    <w:rsid w:val="00003CB8"/>
    <w:rsid w:val="00003D14"/>
    <w:rsid w:val="00003D55"/>
    <w:rsid w:val="00003F91"/>
    <w:rsid w:val="0000485D"/>
    <w:rsid w:val="00005009"/>
    <w:rsid w:val="00005055"/>
    <w:rsid w:val="00006523"/>
    <w:rsid w:val="000065B8"/>
    <w:rsid w:val="00007201"/>
    <w:rsid w:val="000078A5"/>
    <w:rsid w:val="00007FF4"/>
    <w:rsid w:val="000105D4"/>
    <w:rsid w:val="000108A3"/>
    <w:rsid w:val="00010987"/>
    <w:rsid w:val="000111DA"/>
    <w:rsid w:val="00011902"/>
    <w:rsid w:val="00011D70"/>
    <w:rsid w:val="00011FA5"/>
    <w:rsid w:val="00012196"/>
    <w:rsid w:val="0001295A"/>
    <w:rsid w:val="00013424"/>
    <w:rsid w:val="00013883"/>
    <w:rsid w:val="00014C7E"/>
    <w:rsid w:val="0001523A"/>
    <w:rsid w:val="00015A24"/>
    <w:rsid w:val="0001671A"/>
    <w:rsid w:val="00017455"/>
    <w:rsid w:val="00017CD1"/>
    <w:rsid w:val="00017DDD"/>
    <w:rsid w:val="000202C5"/>
    <w:rsid w:val="000204FA"/>
    <w:rsid w:val="00020558"/>
    <w:rsid w:val="00020B8A"/>
    <w:rsid w:val="000213F6"/>
    <w:rsid w:val="0002144A"/>
    <w:rsid w:val="000214D4"/>
    <w:rsid w:val="000217E7"/>
    <w:rsid w:val="00021D68"/>
    <w:rsid w:val="00021FFC"/>
    <w:rsid w:val="00022372"/>
    <w:rsid w:val="00023C49"/>
    <w:rsid w:val="00024141"/>
    <w:rsid w:val="00024562"/>
    <w:rsid w:val="00025B2B"/>
    <w:rsid w:val="00025CE1"/>
    <w:rsid w:val="00026392"/>
    <w:rsid w:val="00026AE1"/>
    <w:rsid w:val="00027398"/>
    <w:rsid w:val="00027DC4"/>
    <w:rsid w:val="00030638"/>
    <w:rsid w:val="00031A4C"/>
    <w:rsid w:val="00031A83"/>
    <w:rsid w:val="0003207B"/>
    <w:rsid w:val="000320A0"/>
    <w:rsid w:val="00032136"/>
    <w:rsid w:val="0003274F"/>
    <w:rsid w:val="000332B6"/>
    <w:rsid w:val="000334BB"/>
    <w:rsid w:val="00033F22"/>
    <w:rsid w:val="000340AD"/>
    <w:rsid w:val="000342AD"/>
    <w:rsid w:val="00034A3C"/>
    <w:rsid w:val="00034D8E"/>
    <w:rsid w:val="00036100"/>
    <w:rsid w:val="00036AA0"/>
    <w:rsid w:val="00036D26"/>
    <w:rsid w:val="000372C1"/>
    <w:rsid w:val="000374BF"/>
    <w:rsid w:val="0003775B"/>
    <w:rsid w:val="00037983"/>
    <w:rsid w:val="00037F67"/>
    <w:rsid w:val="00040340"/>
    <w:rsid w:val="0004095C"/>
    <w:rsid w:val="00040ECA"/>
    <w:rsid w:val="0004186F"/>
    <w:rsid w:val="00041D69"/>
    <w:rsid w:val="00043357"/>
    <w:rsid w:val="0004343A"/>
    <w:rsid w:val="00043AA0"/>
    <w:rsid w:val="00043AA3"/>
    <w:rsid w:val="00043AF5"/>
    <w:rsid w:val="00043BFA"/>
    <w:rsid w:val="00043CE9"/>
    <w:rsid w:val="00043E81"/>
    <w:rsid w:val="00044AD1"/>
    <w:rsid w:val="000452A1"/>
    <w:rsid w:val="00045645"/>
    <w:rsid w:val="00045DF9"/>
    <w:rsid w:val="00045F50"/>
    <w:rsid w:val="00046165"/>
    <w:rsid w:val="00046252"/>
    <w:rsid w:val="00046613"/>
    <w:rsid w:val="000479ED"/>
    <w:rsid w:val="00047F38"/>
    <w:rsid w:val="00047F76"/>
    <w:rsid w:val="00051039"/>
    <w:rsid w:val="00052359"/>
    <w:rsid w:val="00052C6B"/>
    <w:rsid w:val="000535F5"/>
    <w:rsid w:val="00053C84"/>
    <w:rsid w:val="00053F93"/>
    <w:rsid w:val="00054193"/>
    <w:rsid w:val="000549ED"/>
    <w:rsid w:val="00055392"/>
    <w:rsid w:val="000564E4"/>
    <w:rsid w:val="00056A16"/>
    <w:rsid w:val="0005760E"/>
    <w:rsid w:val="00057DF5"/>
    <w:rsid w:val="000604C6"/>
    <w:rsid w:val="00060F70"/>
    <w:rsid w:val="00061F85"/>
    <w:rsid w:val="0006235D"/>
    <w:rsid w:val="00062534"/>
    <w:rsid w:val="000626FD"/>
    <w:rsid w:val="00062BD2"/>
    <w:rsid w:val="00063821"/>
    <w:rsid w:val="00064003"/>
    <w:rsid w:val="000649E9"/>
    <w:rsid w:val="00064F14"/>
    <w:rsid w:val="0006518E"/>
    <w:rsid w:val="00066A98"/>
    <w:rsid w:val="00066CD6"/>
    <w:rsid w:val="00067038"/>
    <w:rsid w:val="00067389"/>
    <w:rsid w:val="000675CF"/>
    <w:rsid w:val="00067822"/>
    <w:rsid w:val="00067B53"/>
    <w:rsid w:val="000701BA"/>
    <w:rsid w:val="000708BE"/>
    <w:rsid w:val="000709F3"/>
    <w:rsid w:val="00070A8C"/>
    <w:rsid w:val="00071040"/>
    <w:rsid w:val="0007111D"/>
    <w:rsid w:val="000722B6"/>
    <w:rsid w:val="00072440"/>
    <w:rsid w:val="00072C58"/>
    <w:rsid w:val="00074104"/>
    <w:rsid w:val="00074114"/>
    <w:rsid w:val="00074232"/>
    <w:rsid w:val="000744C8"/>
    <w:rsid w:val="00074856"/>
    <w:rsid w:val="00075D5E"/>
    <w:rsid w:val="00075F13"/>
    <w:rsid w:val="00076901"/>
    <w:rsid w:val="0007699E"/>
    <w:rsid w:val="00076FBC"/>
    <w:rsid w:val="00077D25"/>
    <w:rsid w:val="000808AE"/>
    <w:rsid w:val="000819C5"/>
    <w:rsid w:val="00081AB9"/>
    <w:rsid w:val="00082308"/>
    <w:rsid w:val="000839DC"/>
    <w:rsid w:val="00083C4C"/>
    <w:rsid w:val="000840F5"/>
    <w:rsid w:val="00084BA8"/>
    <w:rsid w:val="00084CEE"/>
    <w:rsid w:val="00085199"/>
    <w:rsid w:val="000855F1"/>
    <w:rsid w:val="00085864"/>
    <w:rsid w:val="00085D1A"/>
    <w:rsid w:val="00085DF5"/>
    <w:rsid w:val="00085FCF"/>
    <w:rsid w:val="00086178"/>
    <w:rsid w:val="00086296"/>
    <w:rsid w:val="00086373"/>
    <w:rsid w:val="00086932"/>
    <w:rsid w:val="00086FC6"/>
    <w:rsid w:val="00087054"/>
    <w:rsid w:val="00087D72"/>
    <w:rsid w:val="00090298"/>
    <w:rsid w:val="00091237"/>
    <w:rsid w:val="00091239"/>
    <w:rsid w:val="00091872"/>
    <w:rsid w:val="00091AD3"/>
    <w:rsid w:val="00091C2E"/>
    <w:rsid w:val="00091E36"/>
    <w:rsid w:val="000927ED"/>
    <w:rsid w:val="0009305D"/>
    <w:rsid w:val="00093A73"/>
    <w:rsid w:val="00093F78"/>
    <w:rsid w:val="00094375"/>
    <w:rsid w:val="00094394"/>
    <w:rsid w:val="00094971"/>
    <w:rsid w:val="0009503A"/>
    <w:rsid w:val="00095D50"/>
    <w:rsid w:val="00096445"/>
    <w:rsid w:val="00096541"/>
    <w:rsid w:val="00096DE4"/>
    <w:rsid w:val="00097226"/>
    <w:rsid w:val="00097C60"/>
    <w:rsid w:val="000A0AC9"/>
    <w:rsid w:val="000A1309"/>
    <w:rsid w:val="000A1B5F"/>
    <w:rsid w:val="000A1DA1"/>
    <w:rsid w:val="000A20AB"/>
    <w:rsid w:val="000A22FC"/>
    <w:rsid w:val="000A2507"/>
    <w:rsid w:val="000A28BF"/>
    <w:rsid w:val="000A3005"/>
    <w:rsid w:val="000A301F"/>
    <w:rsid w:val="000A3173"/>
    <w:rsid w:val="000A3606"/>
    <w:rsid w:val="000A48A9"/>
    <w:rsid w:val="000A4BA9"/>
    <w:rsid w:val="000A5315"/>
    <w:rsid w:val="000A603B"/>
    <w:rsid w:val="000A6D87"/>
    <w:rsid w:val="000A780C"/>
    <w:rsid w:val="000A7851"/>
    <w:rsid w:val="000A7891"/>
    <w:rsid w:val="000A7F86"/>
    <w:rsid w:val="000B0447"/>
    <w:rsid w:val="000B0748"/>
    <w:rsid w:val="000B0921"/>
    <w:rsid w:val="000B0A7F"/>
    <w:rsid w:val="000B13AF"/>
    <w:rsid w:val="000B22D6"/>
    <w:rsid w:val="000B236E"/>
    <w:rsid w:val="000B29F6"/>
    <w:rsid w:val="000B2A55"/>
    <w:rsid w:val="000B2D4F"/>
    <w:rsid w:val="000B2D94"/>
    <w:rsid w:val="000B342E"/>
    <w:rsid w:val="000B3FEC"/>
    <w:rsid w:val="000B4CB1"/>
    <w:rsid w:val="000B50FA"/>
    <w:rsid w:val="000B5412"/>
    <w:rsid w:val="000B59BA"/>
    <w:rsid w:val="000B5A2C"/>
    <w:rsid w:val="000B5BC0"/>
    <w:rsid w:val="000B5BCE"/>
    <w:rsid w:val="000B605B"/>
    <w:rsid w:val="000B6444"/>
    <w:rsid w:val="000B6619"/>
    <w:rsid w:val="000B6F2D"/>
    <w:rsid w:val="000B71B2"/>
    <w:rsid w:val="000C010A"/>
    <w:rsid w:val="000C0477"/>
    <w:rsid w:val="000C0C1E"/>
    <w:rsid w:val="000C1096"/>
    <w:rsid w:val="000C19E0"/>
    <w:rsid w:val="000C1B28"/>
    <w:rsid w:val="000C22D8"/>
    <w:rsid w:val="000C250F"/>
    <w:rsid w:val="000C3161"/>
    <w:rsid w:val="000C327F"/>
    <w:rsid w:val="000C36C6"/>
    <w:rsid w:val="000C3B30"/>
    <w:rsid w:val="000C445D"/>
    <w:rsid w:val="000C49F4"/>
    <w:rsid w:val="000C4C82"/>
    <w:rsid w:val="000C5021"/>
    <w:rsid w:val="000C5574"/>
    <w:rsid w:val="000C56E0"/>
    <w:rsid w:val="000C6374"/>
    <w:rsid w:val="000C6962"/>
    <w:rsid w:val="000C6B60"/>
    <w:rsid w:val="000C6C8E"/>
    <w:rsid w:val="000D0059"/>
    <w:rsid w:val="000D1F51"/>
    <w:rsid w:val="000D1FAF"/>
    <w:rsid w:val="000D2A4A"/>
    <w:rsid w:val="000D35DE"/>
    <w:rsid w:val="000D37FB"/>
    <w:rsid w:val="000D3E8B"/>
    <w:rsid w:val="000D41E1"/>
    <w:rsid w:val="000D466F"/>
    <w:rsid w:val="000D48AB"/>
    <w:rsid w:val="000D499B"/>
    <w:rsid w:val="000D4B29"/>
    <w:rsid w:val="000D4E8D"/>
    <w:rsid w:val="000D53D6"/>
    <w:rsid w:val="000D62AC"/>
    <w:rsid w:val="000D6324"/>
    <w:rsid w:val="000D663A"/>
    <w:rsid w:val="000D6E76"/>
    <w:rsid w:val="000D7537"/>
    <w:rsid w:val="000D75F9"/>
    <w:rsid w:val="000D76EC"/>
    <w:rsid w:val="000D7B00"/>
    <w:rsid w:val="000E0326"/>
    <w:rsid w:val="000E0E31"/>
    <w:rsid w:val="000E0F71"/>
    <w:rsid w:val="000E1E7E"/>
    <w:rsid w:val="000E2048"/>
    <w:rsid w:val="000E2413"/>
    <w:rsid w:val="000E290D"/>
    <w:rsid w:val="000E2955"/>
    <w:rsid w:val="000E300A"/>
    <w:rsid w:val="000E3386"/>
    <w:rsid w:val="000E3C52"/>
    <w:rsid w:val="000E3D20"/>
    <w:rsid w:val="000E4029"/>
    <w:rsid w:val="000E42B5"/>
    <w:rsid w:val="000E4705"/>
    <w:rsid w:val="000E50A5"/>
    <w:rsid w:val="000E6AAC"/>
    <w:rsid w:val="000E6C77"/>
    <w:rsid w:val="000E6FC1"/>
    <w:rsid w:val="000E7964"/>
    <w:rsid w:val="000E7E1E"/>
    <w:rsid w:val="000F00C0"/>
    <w:rsid w:val="000F04EE"/>
    <w:rsid w:val="000F1499"/>
    <w:rsid w:val="000F1658"/>
    <w:rsid w:val="000F19F5"/>
    <w:rsid w:val="000F1B7F"/>
    <w:rsid w:val="000F1C57"/>
    <w:rsid w:val="000F1D3D"/>
    <w:rsid w:val="000F3500"/>
    <w:rsid w:val="000F351B"/>
    <w:rsid w:val="000F3614"/>
    <w:rsid w:val="000F37EA"/>
    <w:rsid w:val="000F3F56"/>
    <w:rsid w:val="000F41F1"/>
    <w:rsid w:val="000F469F"/>
    <w:rsid w:val="000F4F73"/>
    <w:rsid w:val="000F522B"/>
    <w:rsid w:val="000F544E"/>
    <w:rsid w:val="000F5698"/>
    <w:rsid w:val="000F5862"/>
    <w:rsid w:val="000F647C"/>
    <w:rsid w:val="000F6971"/>
    <w:rsid w:val="000F6B6B"/>
    <w:rsid w:val="000F7C90"/>
    <w:rsid w:val="0010030B"/>
    <w:rsid w:val="001006DA"/>
    <w:rsid w:val="001010E5"/>
    <w:rsid w:val="001011AE"/>
    <w:rsid w:val="001012EB"/>
    <w:rsid w:val="00101563"/>
    <w:rsid w:val="00101688"/>
    <w:rsid w:val="00101CB3"/>
    <w:rsid w:val="0010471C"/>
    <w:rsid w:val="00104A18"/>
    <w:rsid w:val="0010542D"/>
    <w:rsid w:val="00105438"/>
    <w:rsid w:val="00105B2F"/>
    <w:rsid w:val="00105C3F"/>
    <w:rsid w:val="00105DC5"/>
    <w:rsid w:val="0010607E"/>
    <w:rsid w:val="001068C1"/>
    <w:rsid w:val="00106FD7"/>
    <w:rsid w:val="00107818"/>
    <w:rsid w:val="00110220"/>
    <w:rsid w:val="0011065F"/>
    <w:rsid w:val="00110750"/>
    <w:rsid w:val="00110C33"/>
    <w:rsid w:val="00111576"/>
    <w:rsid w:val="00111797"/>
    <w:rsid w:val="001137DA"/>
    <w:rsid w:val="00113D4D"/>
    <w:rsid w:val="00113D5E"/>
    <w:rsid w:val="00113F87"/>
    <w:rsid w:val="001142A5"/>
    <w:rsid w:val="001142C7"/>
    <w:rsid w:val="0011507A"/>
    <w:rsid w:val="001151BD"/>
    <w:rsid w:val="00115518"/>
    <w:rsid w:val="0011561E"/>
    <w:rsid w:val="00115CD7"/>
    <w:rsid w:val="00115D01"/>
    <w:rsid w:val="00116045"/>
    <w:rsid w:val="001160E8"/>
    <w:rsid w:val="0011624F"/>
    <w:rsid w:val="001165F7"/>
    <w:rsid w:val="00116E69"/>
    <w:rsid w:val="001176BA"/>
    <w:rsid w:val="00117836"/>
    <w:rsid w:val="00117A81"/>
    <w:rsid w:val="00117E5E"/>
    <w:rsid w:val="001201DA"/>
    <w:rsid w:val="00120A04"/>
    <w:rsid w:val="001214D3"/>
    <w:rsid w:val="001217B4"/>
    <w:rsid w:val="001219CD"/>
    <w:rsid w:val="00121E38"/>
    <w:rsid w:val="0012259B"/>
    <w:rsid w:val="00122A2E"/>
    <w:rsid w:val="00122AB4"/>
    <w:rsid w:val="00122EF5"/>
    <w:rsid w:val="00123268"/>
    <w:rsid w:val="00123584"/>
    <w:rsid w:val="001239C5"/>
    <w:rsid w:val="00123F9F"/>
    <w:rsid w:val="00124F06"/>
    <w:rsid w:val="00124FC5"/>
    <w:rsid w:val="001250A9"/>
    <w:rsid w:val="001255CD"/>
    <w:rsid w:val="0012568F"/>
    <w:rsid w:val="0012596B"/>
    <w:rsid w:val="00125DF4"/>
    <w:rsid w:val="00126FDF"/>
    <w:rsid w:val="0013022F"/>
    <w:rsid w:val="001310B9"/>
    <w:rsid w:val="001312B6"/>
    <w:rsid w:val="00131A03"/>
    <w:rsid w:val="00131D4B"/>
    <w:rsid w:val="0013245F"/>
    <w:rsid w:val="0013296D"/>
    <w:rsid w:val="0013378A"/>
    <w:rsid w:val="0013411A"/>
    <w:rsid w:val="00134B65"/>
    <w:rsid w:val="00135580"/>
    <w:rsid w:val="00135E3C"/>
    <w:rsid w:val="00136390"/>
    <w:rsid w:val="00136639"/>
    <w:rsid w:val="001368B7"/>
    <w:rsid w:val="001374FA"/>
    <w:rsid w:val="001376BF"/>
    <w:rsid w:val="0013789D"/>
    <w:rsid w:val="00140350"/>
    <w:rsid w:val="00140AAA"/>
    <w:rsid w:val="00140B28"/>
    <w:rsid w:val="00140EFB"/>
    <w:rsid w:val="0014149F"/>
    <w:rsid w:val="0014256C"/>
    <w:rsid w:val="00142575"/>
    <w:rsid w:val="00142AD6"/>
    <w:rsid w:val="00142E37"/>
    <w:rsid w:val="00143024"/>
    <w:rsid w:val="00143459"/>
    <w:rsid w:val="0014345D"/>
    <w:rsid w:val="00143EAA"/>
    <w:rsid w:val="001447B9"/>
    <w:rsid w:val="0014494A"/>
    <w:rsid w:val="00144F78"/>
    <w:rsid w:val="001456CB"/>
    <w:rsid w:val="0014676E"/>
    <w:rsid w:val="00146A42"/>
    <w:rsid w:val="00147124"/>
    <w:rsid w:val="00147A0D"/>
    <w:rsid w:val="001503EE"/>
    <w:rsid w:val="00150849"/>
    <w:rsid w:val="00150EF0"/>
    <w:rsid w:val="00150F2F"/>
    <w:rsid w:val="001510EB"/>
    <w:rsid w:val="0015128A"/>
    <w:rsid w:val="00151719"/>
    <w:rsid w:val="00152315"/>
    <w:rsid w:val="00152640"/>
    <w:rsid w:val="001526AE"/>
    <w:rsid w:val="00154756"/>
    <w:rsid w:val="001547DD"/>
    <w:rsid w:val="00154E7C"/>
    <w:rsid w:val="00155B1F"/>
    <w:rsid w:val="00155DEC"/>
    <w:rsid w:val="00156477"/>
    <w:rsid w:val="001574AD"/>
    <w:rsid w:val="001574D3"/>
    <w:rsid w:val="0015750E"/>
    <w:rsid w:val="00157C4A"/>
    <w:rsid w:val="00157DCF"/>
    <w:rsid w:val="0016084D"/>
    <w:rsid w:val="00161081"/>
    <w:rsid w:val="001623C2"/>
    <w:rsid w:val="00162638"/>
    <w:rsid w:val="001626A6"/>
    <w:rsid w:val="001627C5"/>
    <w:rsid w:val="001632C2"/>
    <w:rsid w:val="00163454"/>
    <w:rsid w:val="00164CED"/>
    <w:rsid w:val="00165B1D"/>
    <w:rsid w:val="00165C59"/>
    <w:rsid w:val="001666ED"/>
    <w:rsid w:val="00170376"/>
    <w:rsid w:val="00170A5C"/>
    <w:rsid w:val="001710EE"/>
    <w:rsid w:val="00171347"/>
    <w:rsid w:val="001713CF"/>
    <w:rsid w:val="00171413"/>
    <w:rsid w:val="001716BD"/>
    <w:rsid w:val="001718DB"/>
    <w:rsid w:val="00172041"/>
    <w:rsid w:val="0017225F"/>
    <w:rsid w:val="00173447"/>
    <w:rsid w:val="00173AE4"/>
    <w:rsid w:val="00173B3A"/>
    <w:rsid w:val="0017411D"/>
    <w:rsid w:val="0017430D"/>
    <w:rsid w:val="00175FAF"/>
    <w:rsid w:val="00176564"/>
    <w:rsid w:val="0017679B"/>
    <w:rsid w:val="00176C1E"/>
    <w:rsid w:val="00177013"/>
    <w:rsid w:val="0018062A"/>
    <w:rsid w:val="00181460"/>
    <w:rsid w:val="001820CE"/>
    <w:rsid w:val="0018218D"/>
    <w:rsid w:val="00182257"/>
    <w:rsid w:val="00182A30"/>
    <w:rsid w:val="00182CD8"/>
    <w:rsid w:val="00182DE9"/>
    <w:rsid w:val="001836B7"/>
    <w:rsid w:val="001838A9"/>
    <w:rsid w:val="00183B00"/>
    <w:rsid w:val="00184D02"/>
    <w:rsid w:val="00184F0C"/>
    <w:rsid w:val="00186335"/>
    <w:rsid w:val="00186AAE"/>
    <w:rsid w:val="00186B82"/>
    <w:rsid w:val="00186CDD"/>
    <w:rsid w:val="001870B6"/>
    <w:rsid w:val="001870F9"/>
    <w:rsid w:val="001871FA"/>
    <w:rsid w:val="001872BE"/>
    <w:rsid w:val="00187803"/>
    <w:rsid w:val="00190518"/>
    <w:rsid w:val="001916C8"/>
    <w:rsid w:val="00192028"/>
    <w:rsid w:val="001925BA"/>
    <w:rsid w:val="00192729"/>
    <w:rsid w:val="001934A3"/>
    <w:rsid w:val="00193616"/>
    <w:rsid w:val="00193BCE"/>
    <w:rsid w:val="00193C2B"/>
    <w:rsid w:val="00194435"/>
    <w:rsid w:val="00195B35"/>
    <w:rsid w:val="00195D71"/>
    <w:rsid w:val="00195D96"/>
    <w:rsid w:val="001960D9"/>
    <w:rsid w:val="001968FA"/>
    <w:rsid w:val="0019709C"/>
    <w:rsid w:val="0019738B"/>
    <w:rsid w:val="00197436"/>
    <w:rsid w:val="001A0171"/>
    <w:rsid w:val="001A1053"/>
    <w:rsid w:val="001A1387"/>
    <w:rsid w:val="001A1472"/>
    <w:rsid w:val="001A2273"/>
    <w:rsid w:val="001A2331"/>
    <w:rsid w:val="001A2822"/>
    <w:rsid w:val="001A2FB6"/>
    <w:rsid w:val="001A3684"/>
    <w:rsid w:val="001A36FD"/>
    <w:rsid w:val="001A3900"/>
    <w:rsid w:val="001A3DB9"/>
    <w:rsid w:val="001A44DF"/>
    <w:rsid w:val="001A480F"/>
    <w:rsid w:val="001A4C48"/>
    <w:rsid w:val="001A4F90"/>
    <w:rsid w:val="001A508B"/>
    <w:rsid w:val="001A547F"/>
    <w:rsid w:val="001A5A5D"/>
    <w:rsid w:val="001A65E1"/>
    <w:rsid w:val="001A6680"/>
    <w:rsid w:val="001A6D26"/>
    <w:rsid w:val="001A6F08"/>
    <w:rsid w:val="001A7D3E"/>
    <w:rsid w:val="001B0D4B"/>
    <w:rsid w:val="001B11AE"/>
    <w:rsid w:val="001B16A2"/>
    <w:rsid w:val="001B1994"/>
    <w:rsid w:val="001B1A75"/>
    <w:rsid w:val="001B1AF9"/>
    <w:rsid w:val="001B2CC4"/>
    <w:rsid w:val="001B3509"/>
    <w:rsid w:val="001B369A"/>
    <w:rsid w:val="001B369B"/>
    <w:rsid w:val="001B3A38"/>
    <w:rsid w:val="001B3C69"/>
    <w:rsid w:val="001B3D38"/>
    <w:rsid w:val="001B4CD8"/>
    <w:rsid w:val="001B4DF3"/>
    <w:rsid w:val="001B4E6A"/>
    <w:rsid w:val="001B55CF"/>
    <w:rsid w:val="001B5DFD"/>
    <w:rsid w:val="001B5E8E"/>
    <w:rsid w:val="001B5F1C"/>
    <w:rsid w:val="001B655E"/>
    <w:rsid w:val="001B7A68"/>
    <w:rsid w:val="001C04E2"/>
    <w:rsid w:val="001C063B"/>
    <w:rsid w:val="001C0B9F"/>
    <w:rsid w:val="001C108E"/>
    <w:rsid w:val="001C127F"/>
    <w:rsid w:val="001C1477"/>
    <w:rsid w:val="001C1F4D"/>
    <w:rsid w:val="001C345D"/>
    <w:rsid w:val="001C367B"/>
    <w:rsid w:val="001C3837"/>
    <w:rsid w:val="001C3C4D"/>
    <w:rsid w:val="001C3EB0"/>
    <w:rsid w:val="001C5A70"/>
    <w:rsid w:val="001C5A93"/>
    <w:rsid w:val="001C6079"/>
    <w:rsid w:val="001C6560"/>
    <w:rsid w:val="001C6791"/>
    <w:rsid w:val="001C6848"/>
    <w:rsid w:val="001C7705"/>
    <w:rsid w:val="001D0131"/>
    <w:rsid w:val="001D0FC8"/>
    <w:rsid w:val="001D1A76"/>
    <w:rsid w:val="001D1E74"/>
    <w:rsid w:val="001D2254"/>
    <w:rsid w:val="001D282A"/>
    <w:rsid w:val="001D2915"/>
    <w:rsid w:val="001D2BEF"/>
    <w:rsid w:val="001D2DB0"/>
    <w:rsid w:val="001D2E1C"/>
    <w:rsid w:val="001D435D"/>
    <w:rsid w:val="001D43B8"/>
    <w:rsid w:val="001D45E8"/>
    <w:rsid w:val="001D509B"/>
    <w:rsid w:val="001D53A1"/>
    <w:rsid w:val="001D5818"/>
    <w:rsid w:val="001D5D53"/>
    <w:rsid w:val="001D5D97"/>
    <w:rsid w:val="001D5F59"/>
    <w:rsid w:val="001D61A8"/>
    <w:rsid w:val="001D7C3E"/>
    <w:rsid w:val="001D7F56"/>
    <w:rsid w:val="001E0257"/>
    <w:rsid w:val="001E0636"/>
    <w:rsid w:val="001E0840"/>
    <w:rsid w:val="001E0A07"/>
    <w:rsid w:val="001E0B26"/>
    <w:rsid w:val="001E172E"/>
    <w:rsid w:val="001E2448"/>
    <w:rsid w:val="001E2FB9"/>
    <w:rsid w:val="001E34DC"/>
    <w:rsid w:val="001E37C8"/>
    <w:rsid w:val="001E3951"/>
    <w:rsid w:val="001E3CDE"/>
    <w:rsid w:val="001E3F89"/>
    <w:rsid w:val="001E44CB"/>
    <w:rsid w:val="001E5F5B"/>
    <w:rsid w:val="001E6063"/>
    <w:rsid w:val="001E6332"/>
    <w:rsid w:val="001F0129"/>
    <w:rsid w:val="001F11D5"/>
    <w:rsid w:val="001F14DE"/>
    <w:rsid w:val="001F157F"/>
    <w:rsid w:val="001F1BD0"/>
    <w:rsid w:val="001F29FF"/>
    <w:rsid w:val="001F2F2E"/>
    <w:rsid w:val="001F36DC"/>
    <w:rsid w:val="001F3B10"/>
    <w:rsid w:val="001F3C8A"/>
    <w:rsid w:val="001F3E0B"/>
    <w:rsid w:val="001F421C"/>
    <w:rsid w:val="001F4B91"/>
    <w:rsid w:val="001F500D"/>
    <w:rsid w:val="001F5039"/>
    <w:rsid w:val="001F50E8"/>
    <w:rsid w:val="001F5135"/>
    <w:rsid w:val="001F5441"/>
    <w:rsid w:val="001F66E1"/>
    <w:rsid w:val="001F6FBE"/>
    <w:rsid w:val="001F72E5"/>
    <w:rsid w:val="001F7AC8"/>
    <w:rsid w:val="001F7E5E"/>
    <w:rsid w:val="0020004A"/>
    <w:rsid w:val="00200451"/>
    <w:rsid w:val="002004C0"/>
    <w:rsid w:val="00201085"/>
    <w:rsid w:val="00201D09"/>
    <w:rsid w:val="00202080"/>
    <w:rsid w:val="002027D2"/>
    <w:rsid w:val="002032F2"/>
    <w:rsid w:val="00203520"/>
    <w:rsid w:val="00203717"/>
    <w:rsid w:val="00203D80"/>
    <w:rsid w:val="00203DE8"/>
    <w:rsid w:val="002046B3"/>
    <w:rsid w:val="002047DA"/>
    <w:rsid w:val="002049F0"/>
    <w:rsid w:val="002050C1"/>
    <w:rsid w:val="002053A6"/>
    <w:rsid w:val="00206D6E"/>
    <w:rsid w:val="00206F88"/>
    <w:rsid w:val="002103C7"/>
    <w:rsid w:val="002105B1"/>
    <w:rsid w:val="002116F2"/>
    <w:rsid w:val="00212662"/>
    <w:rsid w:val="002130B7"/>
    <w:rsid w:val="00213BD5"/>
    <w:rsid w:val="00213FD8"/>
    <w:rsid w:val="0021430A"/>
    <w:rsid w:val="0021430C"/>
    <w:rsid w:val="0021445E"/>
    <w:rsid w:val="00214AAC"/>
    <w:rsid w:val="0021534F"/>
    <w:rsid w:val="002153A4"/>
    <w:rsid w:val="002153F1"/>
    <w:rsid w:val="002157BE"/>
    <w:rsid w:val="00215852"/>
    <w:rsid w:val="00215B7D"/>
    <w:rsid w:val="00215D4A"/>
    <w:rsid w:val="0021608A"/>
    <w:rsid w:val="002164ED"/>
    <w:rsid w:val="0021699C"/>
    <w:rsid w:val="00216D82"/>
    <w:rsid w:val="002215ED"/>
    <w:rsid w:val="00221AC7"/>
    <w:rsid w:val="00221C5D"/>
    <w:rsid w:val="00221FC6"/>
    <w:rsid w:val="002226D5"/>
    <w:rsid w:val="002226EF"/>
    <w:rsid w:val="0022415A"/>
    <w:rsid w:val="00224194"/>
    <w:rsid w:val="0022424B"/>
    <w:rsid w:val="002243A6"/>
    <w:rsid w:val="002248BB"/>
    <w:rsid w:val="002249FB"/>
    <w:rsid w:val="002251BA"/>
    <w:rsid w:val="0022628A"/>
    <w:rsid w:val="002262F4"/>
    <w:rsid w:val="00226371"/>
    <w:rsid w:val="00226634"/>
    <w:rsid w:val="002268E1"/>
    <w:rsid w:val="00226E7F"/>
    <w:rsid w:val="00227711"/>
    <w:rsid w:val="00230C3F"/>
    <w:rsid w:val="00231025"/>
    <w:rsid w:val="00231768"/>
    <w:rsid w:val="00231A68"/>
    <w:rsid w:val="00231B65"/>
    <w:rsid w:val="00232E50"/>
    <w:rsid w:val="0023313D"/>
    <w:rsid w:val="0023316E"/>
    <w:rsid w:val="0023318B"/>
    <w:rsid w:val="0023341A"/>
    <w:rsid w:val="002334D0"/>
    <w:rsid w:val="002338EB"/>
    <w:rsid w:val="00233BD5"/>
    <w:rsid w:val="002340C0"/>
    <w:rsid w:val="002343CC"/>
    <w:rsid w:val="00234551"/>
    <w:rsid w:val="00234B16"/>
    <w:rsid w:val="00234F4C"/>
    <w:rsid w:val="00235559"/>
    <w:rsid w:val="00235794"/>
    <w:rsid w:val="00235C80"/>
    <w:rsid w:val="00236046"/>
    <w:rsid w:val="0023613D"/>
    <w:rsid w:val="0023634A"/>
    <w:rsid w:val="00236C1E"/>
    <w:rsid w:val="00236EFE"/>
    <w:rsid w:val="00237343"/>
    <w:rsid w:val="00237461"/>
    <w:rsid w:val="0023785F"/>
    <w:rsid w:val="00237E55"/>
    <w:rsid w:val="0024115E"/>
    <w:rsid w:val="00242234"/>
    <w:rsid w:val="0024223B"/>
    <w:rsid w:val="0024250D"/>
    <w:rsid w:val="0024274E"/>
    <w:rsid w:val="00242A4C"/>
    <w:rsid w:val="00242C88"/>
    <w:rsid w:val="00242F36"/>
    <w:rsid w:val="002430BF"/>
    <w:rsid w:val="00243234"/>
    <w:rsid w:val="002432A8"/>
    <w:rsid w:val="0024370D"/>
    <w:rsid w:val="00243931"/>
    <w:rsid w:val="00243D15"/>
    <w:rsid w:val="00244287"/>
    <w:rsid w:val="002442A6"/>
    <w:rsid w:val="00244756"/>
    <w:rsid w:val="00246588"/>
    <w:rsid w:val="00246BD1"/>
    <w:rsid w:val="00247093"/>
    <w:rsid w:val="002471FA"/>
    <w:rsid w:val="002476C2"/>
    <w:rsid w:val="002502DD"/>
    <w:rsid w:val="0025100F"/>
    <w:rsid w:val="002517AB"/>
    <w:rsid w:val="0025246E"/>
    <w:rsid w:val="00252852"/>
    <w:rsid w:val="00253AD2"/>
    <w:rsid w:val="00253DC3"/>
    <w:rsid w:val="002544AE"/>
    <w:rsid w:val="002546B6"/>
    <w:rsid w:val="002548F7"/>
    <w:rsid w:val="00254907"/>
    <w:rsid w:val="002556C9"/>
    <w:rsid w:val="00256177"/>
    <w:rsid w:val="002563C1"/>
    <w:rsid w:val="002566A9"/>
    <w:rsid w:val="002568BD"/>
    <w:rsid w:val="00257260"/>
    <w:rsid w:val="00257EFC"/>
    <w:rsid w:val="00257F08"/>
    <w:rsid w:val="00257F73"/>
    <w:rsid w:val="00257FA5"/>
    <w:rsid w:val="002608EC"/>
    <w:rsid w:val="00261A88"/>
    <w:rsid w:val="00261DF9"/>
    <w:rsid w:val="00262355"/>
    <w:rsid w:val="00262CBF"/>
    <w:rsid w:val="002638D0"/>
    <w:rsid w:val="00263A23"/>
    <w:rsid w:val="00264C16"/>
    <w:rsid w:val="00265BB8"/>
    <w:rsid w:val="00265D1A"/>
    <w:rsid w:val="00265EFE"/>
    <w:rsid w:val="0026666A"/>
    <w:rsid w:val="00266BF2"/>
    <w:rsid w:val="00266C25"/>
    <w:rsid w:val="002674DC"/>
    <w:rsid w:val="00267ACF"/>
    <w:rsid w:val="00267CAE"/>
    <w:rsid w:val="00270336"/>
    <w:rsid w:val="00270560"/>
    <w:rsid w:val="00271004"/>
    <w:rsid w:val="00271802"/>
    <w:rsid w:val="00271E27"/>
    <w:rsid w:val="00272087"/>
    <w:rsid w:val="0027226D"/>
    <w:rsid w:val="002726E7"/>
    <w:rsid w:val="00273EF5"/>
    <w:rsid w:val="00274980"/>
    <w:rsid w:val="002755ED"/>
    <w:rsid w:val="002756A7"/>
    <w:rsid w:val="00275C69"/>
    <w:rsid w:val="0027609A"/>
    <w:rsid w:val="0027704C"/>
    <w:rsid w:val="00277EFB"/>
    <w:rsid w:val="002804E3"/>
    <w:rsid w:val="00280603"/>
    <w:rsid w:val="00280791"/>
    <w:rsid w:val="002814BF"/>
    <w:rsid w:val="002816D6"/>
    <w:rsid w:val="00281CB3"/>
    <w:rsid w:val="00282074"/>
    <w:rsid w:val="00282133"/>
    <w:rsid w:val="00282221"/>
    <w:rsid w:val="00282B2F"/>
    <w:rsid w:val="00282C28"/>
    <w:rsid w:val="00282DAA"/>
    <w:rsid w:val="00282E2A"/>
    <w:rsid w:val="002830DB"/>
    <w:rsid w:val="00283497"/>
    <w:rsid w:val="0028354A"/>
    <w:rsid w:val="002839BB"/>
    <w:rsid w:val="00283F24"/>
    <w:rsid w:val="002840FB"/>
    <w:rsid w:val="00284189"/>
    <w:rsid w:val="002842E1"/>
    <w:rsid w:val="00284550"/>
    <w:rsid w:val="00285F52"/>
    <w:rsid w:val="0028686E"/>
    <w:rsid w:val="0028699E"/>
    <w:rsid w:val="002874F1"/>
    <w:rsid w:val="0028750E"/>
    <w:rsid w:val="00287847"/>
    <w:rsid w:val="00290645"/>
    <w:rsid w:val="002906B0"/>
    <w:rsid w:val="0029087C"/>
    <w:rsid w:val="00291508"/>
    <w:rsid w:val="00291626"/>
    <w:rsid w:val="00291CA6"/>
    <w:rsid w:val="00292153"/>
    <w:rsid w:val="00292431"/>
    <w:rsid w:val="00292CCA"/>
    <w:rsid w:val="002930A0"/>
    <w:rsid w:val="00293110"/>
    <w:rsid w:val="002932A9"/>
    <w:rsid w:val="0029355C"/>
    <w:rsid w:val="00294469"/>
    <w:rsid w:val="002948D6"/>
    <w:rsid w:val="00294992"/>
    <w:rsid w:val="00295101"/>
    <w:rsid w:val="002961F5"/>
    <w:rsid w:val="00296C7A"/>
    <w:rsid w:val="00297539"/>
    <w:rsid w:val="002A0140"/>
    <w:rsid w:val="002A0DB0"/>
    <w:rsid w:val="002A0FD1"/>
    <w:rsid w:val="002A13E1"/>
    <w:rsid w:val="002A2042"/>
    <w:rsid w:val="002A2369"/>
    <w:rsid w:val="002A3010"/>
    <w:rsid w:val="002A33EB"/>
    <w:rsid w:val="002A455E"/>
    <w:rsid w:val="002A46FB"/>
    <w:rsid w:val="002A48A6"/>
    <w:rsid w:val="002A4EFB"/>
    <w:rsid w:val="002A664C"/>
    <w:rsid w:val="002A6708"/>
    <w:rsid w:val="002A68DA"/>
    <w:rsid w:val="002A6B7D"/>
    <w:rsid w:val="002A771F"/>
    <w:rsid w:val="002A7930"/>
    <w:rsid w:val="002B1808"/>
    <w:rsid w:val="002B1DED"/>
    <w:rsid w:val="002B2544"/>
    <w:rsid w:val="002B2578"/>
    <w:rsid w:val="002B3290"/>
    <w:rsid w:val="002B333D"/>
    <w:rsid w:val="002B36B2"/>
    <w:rsid w:val="002B3871"/>
    <w:rsid w:val="002B398D"/>
    <w:rsid w:val="002B43CC"/>
    <w:rsid w:val="002B5598"/>
    <w:rsid w:val="002B5651"/>
    <w:rsid w:val="002B62B3"/>
    <w:rsid w:val="002C2D3D"/>
    <w:rsid w:val="002C342F"/>
    <w:rsid w:val="002C3C96"/>
    <w:rsid w:val="002C3FCB"/>
    <w:rsid w:val="002C4772"/>
    <w:rsid w:val="002C4909"/>
    <w:rsid w:val="002C5235"/>
    <w:rsid w:val="002C58F9"/>
    <w:rsid w:val="002C6341"/>
    <w:rsid w:val="002C71D8"/>
    <w:rsid w:val="002C71F2"/>
    <w:rsid w:val="002C7206"/>
    <w:rsid w:val="002C7593"/>
    <w:rsid w:val="002C76A2"/>
    <w:rsid w:val="002D0578"/>
    <w:rsid w:val="002D0845"/>
    <w:rsid w:val="002D0B3C"/>
    <w:rsid w:val="002D0B66"/>
    <w:rsid w:val="002D0D3D"/>
    <w:rsid w:val="002D1F39"/>
    <w:rsid w:val="002D24EA"/>
    <w:rsid w:val="002D265F"/>
    <w:rsid w:val="002D2EC4"/>
    <w:rsid w:val="002D311B"/>
    <w:rsid w:val="002D3606"/>
    <w:rsid w:val="002D3803"/>
    <w:rsid w:val="002D3980"/>
    <w:rsid w:val="002D3C91"/>
    <w:rsid w:val="002D4072"/>
    <w:rsid w:val="002D49BB"/>
    <w:rsid w:val="002D4A22"/>
    <w:rsid w:val="002D4C44"/>
    <w:rsid w:val="002D50A3"/>
    <w:rsid w:val="002D50A4"/>
    <w:rsid w:val="002D53E6"/>
    <w:rsid w:val="002D5DDF"/>
    <w:rsid w:val="002D62C7"/>
    <w:rsid w:val="002D6F4A"/>
    <w:rsid w:val="002D703A"/>
    <w:rsid w:val="002D7954"/>
    <w:rsid w:val="002E06D8"/>
    <w:rsid w:val="002E09F1"/>
    <w:rsid w:val="002E0CF7"/>
    <w:rsid w:val="002E1426"/>
    <w:rsid w:val="002E1E2D"/>
    <w:rsid w:val="002E236D"/>
    <w:rsid w:val="002E2BAE"/>
    <w:rsid w:val="002E3708"/>
    <w:rsid w:val="002E3B0F"/>
    <w:rsid w:val="002E3C4D"/>
    <w:rsid w:val="002E3D50"/>
    <w:rsid w:val="002E48F4"/>
    <w:rsid w:val="002E4922"/>
    <w:rsid w:val="002E498D"/>
    <w:rsid w:val="002E4E39"/>
    <w:rsid w:val="002E5566"/>
    <w:rsid w:val="002E5872"/>
    <w:rsid w:val="002E5A26"/>
    <w:rsid w:val="002E5DB7"/>
    <w:rsid w:val="002E6650"/>
    <w:rsid w:val="002E6759"/>
    <w:rsid w:val="002E6B56"/>
    <w:rsid w:val="002E7E39"/>
    <w:rsid w:val="002F001E"/>
    <w:rsid w:val="002F0A30"/>
    <w:rsid w:val="002F0BA3"/>
    <w:rsid w:val="002F19B0"/>
    <w:rsid w:val="002F1DC8"/>
    <w:rsid w:val="002F1FCC"/>
    <w:rsid w:val="002F24CC"/>
    <w:rsid w:val="002F2557"/>
    <w:rsid w:val="002F25BA"/>
    <w:rsid w:val="002F2644"/>
    <w:rsid w:val="002F28F6"/>
    <w:rsid w:val="002F2910"/>
    <w:rsid w:val="002F304F"/>
    <w:rsid w:val="002F359A"/>
    <w:rsid w:val="002F451E"/>
    <w:rsid w:val="002F4733"/>
    <w:rsid w:val="002F4BB3"/>
    <w:rsid w:val="002F4E0C"/>
    <w:rsid w:val="002F510C"/>
    <w:rsid w:val="002F6EE3"/>
    <w:rsid w:val="002F73A8"/>
    <w:rsid w:val="002F7438"/>
    <w:rsid w:val="00300433"/>
    <w:rsid w:val="003004D5"/>
    <w:rsid w:val="00300611"/>
    <w:rsid w:val="00300C69"/>
    <w:rsid w:val="0030123F"/>
    <w:rsid w:val="0030141A"/>
    <w:rsid w:val="003015A7"/>
    <w:rsid w:val="0030270C"/>
    <w:rsid w:val="0030348F"/>
    <w:rsid w:val="003035D6"/>
    <w:rsid w:val="003038A0"/>
    <w:rsid w:val="00303E16"/>
    <w:rsid w:val="00303EE0"/>
    <w:rsid w:val="00304B85"/>
    <w:rsid w:val="00304C57"/>
    <w:rsid w:val="00305CAA"/>
    <w:rsid w:val="00305D65"/>
    <w:rsid w:val="00305F7D"/>
    <w:rsid w:val="0030600A"/>
    <w:rsid w:val="00306274"/>
    <w:rsid w:val="00306E28"/>
    <w:rsid w:val="003070BE"/>
    <w:rsid w:val="00307465"/>
    <w:rsid w:val="00310915"/>
    <w:rsid w:val="00310C52"/>
    <w:rsid w:val="00310E8E"/>
    <w:rsid w:val="003124EE"/>
    <w:rsid w:val="00312719"/>
    <w:rsid w:val="00312AFE"/>
    <w:rsid w:val="003130CA"/>
    <w:rsid w:val="00313AEC"/>
    <w:rsid w:val="00314FB4"/>
    <w:rsid w:val="00315B8A"/>
    <w:rsid w:val="00315DCF"/>
    <w:rsid w:val="0031634B"/>
    <w:rsid w:val="00316E36"/>
    <w:rsid w:val="0031729C"/>
    <w:rsid w:val="0031731C"/>
    <w:rsid w:val="00317C1F"/>
    <w:rsid w:val="00320EF2"/>
    <w:rsid w:val="00321369"/>
    <w:rsid w:val="00321A0B"/>
    <w:rsid w:val="00321A7F"/>
    <w:rsid w:val="00322239"/>
    <w:rsid w:val="0032253A"/>
    <w:rsid w:val="00322771"/>
    <w:rsid w:val="0032291D"/>
    <w:rsid w:val="00322C03"/>
    <w:rsid w:val="003252F2"/>
    <w:rsid w:val="0032541D"/>
    <w:rsid w:val="003257A3"/>
    <w:rsid w:val="0032638D"/>
    <w:rsid w:val="00327485"/>
    <w:rsid w:val="00327528"/>
    <w:rsid w:val="003278FC"/>
    <w:rsid w:val="00327976"/>
    <w:rsid w:val="00327B6F"/>
    <w:rsid w:val="00330674"/>
    <w:rsid w:val="00330C59"/>
    <w:rsid w:val="00330E12"/>
    <w:rsid w:val="00330FB9"/>
    <w:rsid w:val="00331372"/>
    <w:rsid w:val="003320E1"/>
    <w:rsid w:val="00332537"/>
    <w:rsid w:val="00333AA1"/>
    <w:rsid w:val="00333E4D"/>
    <w:rsid w:val="00333F59"/>
    <w:rsid w:val="00334352"/>
    <w:rsid w:val="003346BD"/>
    <w:rsid w:val="00334E4A"/>
    <w:rsid w:val="00335354"/>
    <w:rsid w:val="00336110"/>
    <w:rsid w:val="003361F3"/>
    <w:rsid w:val="003366B5"/>
    <w:rsid w:val="00336EB6"/>
    <w:rsid w:val="0033723E"/>
    <w:rsid w:val="00337952"/>
    <w:rsid w:val="00337E68"/>
    <w:rsid w:val="00340022"/>
    <w:rsid w:val="00340139"/>
    <w:rsid w:val="0034062F"/>
    <w:rsid w:val="003410B5"/>
    <w:rsid w:val="00341347"/>
    <w:rsid w:val="003417AB"/>
    <w:rsid w:val="00341FD3"/>
    <w:rsid w:val="00342DE2"/>
    <w:rsid w:val="00342E1F"/>
    <w:rsid w:val="00343054"/>
    <w:rsid w:val="00343973"/>
    <w:rsid w:val="00343976"/>
    <w:rsid w:val="00343DF7"/>
    <w:rsid w:val="00344090"/>
    <w:rsid w:val="003450E3"/>
    <w:rsid w:val="00345228"/>
    <w:rsid w:val="00345469"/>
    <w:rsid w:val="00345542"/>
    <w:rsid w:val="0034554E"/>
    <w:rsid w:val="00345AE5"/>
    <w:rsid w:val="003460BF"/>
    <w:rsid w:val="003462AE"/>
    <w:rsid w:val="003466D0"/>
    <w:rsid w:val="00346BDC"/>
    <w:rsid w:val="0034718A"/>
    <w:rsid w:val="00347AC8"/>
    <w:rsid w:val="00347B85"/>
    <w:rsid w:val="00347CBF"/>
    <w:rsid w:val="00350054"/>
    <w:rsid w:val="00350369"/>
    <w:rsid w:val="003515C4"/>
    <w:rsid w:val="0035269B"/>
    <w:rsid w:val="00352CD2"/>
    <w:rsid w:val="00353425"/>
    <w:rsid w:val="0035354E"/>
    <w:rsid w:val="00353A6F"/>
    <w:rsid w:val="00354533"/>
    <w:rsid w:val="00354580"/>
    <w:rsid w:val="00355ACF"/>
    <w:rsid w:val="00356231"/>
    <w:rsid w:val="003563AF"/>
    <w:rsid w:val="00356B8F"/>
    <w:rsid w:val="00357C03"/>
    <w:rsid w:val="00360326"/>
    <w:rsid w:val="00360393"/>
    <w:rsid w:val="003606FF"/>
    <w:rsid w:val="00362566"/>
    <w:rsid w:val="003625CB"/>
    <w:rsid w:val="00362B8C"/>
    <w:rsid w:val="00363277"/>
    <w:rsid w:val="00363355"/>
    <w:rsid w:val="003636D1"/>
    <w:rsid w:val="0036423A"/>
    <w:rsid w:val="00364576"/>
    <w:rsid w:val="00364585"/>
    <w:rsid w:val="003647A1"/>
    <w:rsid w:val="003655CC"/>
    <w:rsid w:val="003662B7"/>
    <w:rsid w:val="003668B1"/>
    <w:rsid w:val="00366A25"/>
    <w:rsid w:val="0036721E"/>
    <w:rsid w:val="00367366"/>
    <w:rsid w:val="00367A8C"/>
    <w:rsid w:val="00367AFA"/>
    <w:rsid w:val="00367E87"/>
    <w:rsid w:val="00370555"/>
    <w:rsid w:val="003709DD"/>
    <w:rsid w:val="00370CDE"/>
    <w:rsid w:val="0037108F"/>
    <w:rsid w:val="00371F8E"/>
    <w:rsid w:val="00372E9D"/>
    <w:rsid w:val="003735C6"/>
    <w:rsid w:val="00373894"/>
    <w:rsid w:val="00374010"/>
    <w:rsid w:val="0037530A"/>
    <w:rsid w:val="00375456"/>
    <w:rsid w:val="00375529"/>
    <w:rsid w:val="003755C5"/>
    <w:rsid w:val="00375B2D"/>
    <w:rsid w:val="00375B87"/>
    <w:rsid w:val="003760A7"/>
    <w:rsid w:val="00376907"/>
    <w:rsid w:val="00376BA7"/>
    <w:rsid w:val="00377465"/>
    <w:rsid w:val="003779BD"/>
    <w:rsid w:val="00380B48"/>
    <w:rsid w:val="003812EF"/>
    <w:rsid w:val="003816BF"/>
    <w:rsid w:val="003816C1"/>
    <w:rsid w:val="00381F25"/>
    <w:rsid w:val="00382304"/>
    <w:rsid w:val="003824CF"/>
    <w:rsid w:val="0038269C"/>
    <w:rsid w:val="00382C7D"/>
    <w:rsid w:val="00382CB8"/>
    <w:rsid w:val="003838FD"/>
    <w:rsid w:val="00383997"/>
    <w:rsid w:val="00385977"/>
    <w:rsid w:val="00385BD3"/>
    <w:rsid w:val="00385BEA"/>
    <w:rsid w:val="00386C07"/>
    <w:rsid w:val="0038779D"/>
    <w:rsid w:val="00387912"/>
    <w:rsid w:val="00387D42"/>
    <w:rsid w:val="00387DCF"/>
    <w:rsid w:val="003902DC"/>
    <w:rsid w:val="003904E4"/>
    <w:rsid w:val="00390780"/>
    <w:rsid w:val="00390DF4"/>
    <w:rsid w:val="00390FAA"/>
    <w:rsid w:val="00391371"/>
    <w:rsid w:val="003926F2"/>
    <w:rsid w:val="0039432F"/>
    <w:rsid w:val="00394728"/>
    <w:rsid w:val="0039499C"/>
    <w:rsid w:val="00394C91"/>
    <w:rsid w:val="00394F45"/>
    <w:rsid w:val="00395208"/>
    <w:rsid w:val="00396334"/>
    <w:rsid w:val="003964F9"/>
    <w:rsid w:val="003965E8"/>
    <w:rsid w:val="00396AE6"/>
    <w:rsid w:val="00396B3D"/>
    <w:rsid w:val="00396CE6"/>
    <w:rsid w:val="00397404"/>
    <w:rsid w:val="003974AC"/>
    <w:rsid w:val="00397956"/>
    <w:rsid w:val="003A139A"/>
    <w:rsid w:val="003A2206"/>
    <w:rsid w:val="003A2214"/>
    <w:rsid w:val="003A2530"/>
    <w:rsid w:val="003A2695"/>
    <w:rsid w:val="003A27BF"/>
    <w:rsid w:val="003A3094"/>
    <w:rsid w:val="003A3169"/>
    <w:rsid w:val="003A339E"/>
    <w:rsid w:val="003A3BAB"/>
    <w:rsid w:val="003A3F27"/>
    <w:rsid w:val="003A4A50"/>
    <w:rsid w:val="003A4D44"/>
    <w:rsid w:val="003A58BF"/>
    <w:rsid w:val="003A5D0D"/>
    <w:rsid w:val="003A68F2"/>
    <w:rsid w:val="003A72A8"/>
    <w:rsid w:val="003A72FC"/>
    <w:rsid w:val="003B08AA"/>
    <w:rsid w:val="003B0EB9"/>
    <w:rsid w:val="003B187C"/>
    <w:rsid w:val="003B19E3"/>
    <w:rsid w:val="003B1DDE"/>
    <w:rsid w:val="003B1E4B"/>
    <w:rsid w:val="003B283B"/>
    <w:rsid w:val="003B290F"/>
    <w:rsid w:val="003B2995"/>
    <w:rsid w:val="003B2AC6"/>
    <w:rsid w:val="003B2F0F"/>
    <w:rsid w:val="003B32DB"/>
    <w:rsid w:val="003B35F8"/>
    <w:rsid w:val="003B3F1C"/>
    <w:rsid w:val="003B40B0"/>
    <w:rsid w:val="003B461E"/>
    <w:rsid w:val="003B54D0"/>
    <w:rsid w:val="003B575A"/>
    <w:rsid w:val="003B58B8"/>
    <w:rsid w:val="003B59C6"/>
    <w:rsid w:val="003B5BD0"/>
    <w:rsid w:val="003B5E1D"/>
    <w:rsid w:val="003B6329"/>
    <w:rsid w:val="003B6D87"/>
    <w:rsid w:val="003B7999"/>
    <w:rsid w:val="003B79C7"/>
    <w:rsid w:val="003B7A4F"/>
    <w:rsid w:val="003C001A"/>
    <w:rsid w:val="003C0107"/>
    <w:rsid w:val="003C0660"/>
    <w:rsid w:val="003C0864"/>
    <w:rsid w:val="003C08AC"/>
    <w:rsid w:val="003C1D35"/>
    <w:rsid w:val="003C2057"/>
    <w:rsid w:val="003C24E6"/>
    <w:rsid w:val="003C2793"/>
    <w:rsid w:val="003C2A4B"/>
    <w:rsid w:val="003C4468"/>
    <w:rsid w:val="003C45FD"/>
    <w:rsid w:val="003C4609"/>
    <w:rsid w:val="003C4E45"/>
    <w:rsid w:val="003C535E"/>
    <w:rsid w:val="003C542B"/>
    <w:rsid w:val="003C55C5"/>
    <w:rsid w:val="003C5A1F"/>
    <w:rsid w:val="003C5A94"/>
    <w:rsid w:val="003C5C17"/>
    <w:rsid w:val="003C5DAC"/>
    <w:rsid w:val="003C616F"/>
    <w:rsid w:val="003C6447"/>
    <w:rsid w:val="003C6A64"/>
    <w:rsid w:val="003C72D0"/>
    <w:rsid w:val="003C761C"/>
    <w:rsid w:val="003C767C"/>
    <w:rsid w:val="003C78DF"/>
    <w:rsid w:val="003D05C9"/>
    <w:rsid w:val="003D0642"/>
    <w:rsid w:val="003D074F"/>
    <w:rsid w:val="003D0832"/>
    <w:rsid w:val="003D14BE"/>
    <w:rsid w:val="003D1AE4"/>
    <w:rsid w:val="003D1C85"/>
    <w:rsid w:val="003D2725"/>
    <w:rsid w:val="003D2AD1"/>
    <w:rsid w:val="003D3872"/>
    <w:rsid w:val="003D3936"/>
    <w:rsid w:val="003D439C"/>
    <w:rsid w:val="003D43CF"/>
    <w:rsid w:val="003D479B"/>
    <w:rsid w:val="003D4DC7"/>
    <w:rsid w:val="003D5124"/>
    <w:rsid w:val="003D6194"/>
    <w:rsid w:val="003D6202"/>
    <w:rsid w:val="003D6C51"/>
    <w:rsid w:val="003E0594"/>
    <w:rsid w:val="003E07EC"/>
    <w:rsid w:val="003E087B"/>
    <w:rsid w:val="003E087F"/>
    <w:rsid w:val="003E0BEA"/>
    <w:rsid w:val="003E0E37"/>
    <w:rsid w:val="003E17CB"/>
    <w:rsid w:val="003E24CC"/>
    <w:rsid w:val="003E2C41"/>
    <w:rsid w:val="003E3ADD"/>
    <w:rsid w:val="003E46E8"/>
    <w:rsid w:val="003E4FCC"/>
    <w:rsid w:val="003E54B1"/>
    <w:rsid w:val="003E5564"/>
    <w:rsid w:val="003E610A"/>
    <w:rsid w:val="003E6816"/>
    <w:rsid w:val="003E736D"/>
    <w:rsid w:val="003E76A4"/>
    <w:rsid w:val="003E7752"/>
    <w:rsid w:val="003E7962"/>
    <w:rsid w:val="003E7A3B"/>
    <w:rsid w:val="003F085B"/>
    <w:rsid w:val="003F0AC4"/>
    <w:rsid w:val="003F0E11"/>
    <w:rsid w:val="003F124E"/>
    <w:rsid w:val="003F184A"/>
    <w:rsid w:val="003F24FE"/>
    <w:rsid w:val="003F255D"/>
    <w:rsid w:val="003F2CA0"/>
    <w:rsid w:val="003F4053"/>
    <w:rsid w:val="003F4ABA"/>
    <w:rsid w:val="003F5431"/>
    <w:rsid w:val="003F54A4"/>
    <w:rsid w:val="003F552C"/>
    <w:rsid w:val="003F6368"/>
    <w:rsid w:val="003F6C83"/>
    <w:rsid w:val="003F6F89"/>
    <w:rsid w:val="003F7097"/>
    <w:rsid w:val="003F77E8"/>
    <w:rsid w:val="0040034D"/>
    <w:rsid w:val="00400816"/>
    <w:rsid w:val="00400A75"/>
    <w:rsid w:val="00401D13"/>
    <w:rsid w:val="00402140"/>
    <w:rsid w:val="00403806"/>
    <w:rsid w:val="0040493D"/>
    <w:rsid w:val="004055D0"/>
    <w:rsid w:val="004058CE"/>
    <w:rsid w:val="00405995"/>
    <w:rsid w:val="00405B0C"/>
    <w:rsid w:val="00406117"/>
    <w:rsid w:val="00406CCB"/>
    <w:rsid w:val="004071C7"/>
    <w:rsid w:val="004072BA"/>
    <w:rsid w:val="00410B71"/>
    <w:rsid w:val="00411852"/>
    <w:rsid w:val="00413DB9"/>
    <w:rsid w:val="00414D85"/>
    <w:rsid w:val="00414DEF"/>
    <w:rsid w:val="004150A8"/>
    <w:rsid w:val="0041511A"/>
    <w:rsid w:val="00415A64"/>
    <w:rsid w:val="004161E5"/>
    <w:rsid w:val="00417411"/>
    <w:rsid w:val="00417418"/>
    <w:rsid w:val="00417752"/>
    <w:rsid w:val="00420147"/>
    <w:rsid w:val="00420527"/>
    <w:rsid w:val="0042079B"/>
    <w:rsid w:val="0042157E"/>
    <w:rsid w:val="004216AF"/>
    <w:rsid w:val="00421E69"/>
    <w:rsid w:val="004228ED"/>
    <w:rsid w:val="00422993"/>
    <w:rsid w:val="00422C27"/>
    <w:rsid w:val="004230AF"/>
    <w:rsid w:val="00423437"/>
    <w:rsid w:val="004237A6"/>
    <w:rsid w:val="0042406B"/>
    <w:rsid w:val="004241F6"/>
    <w:rsid w:val="00424592"/>
    <w:rsid w:val="00424847"/>
    <w:rsid w:val="00424C95"/>
    <w:rsid w:val="00424E12"/>
    <w:rsid w:val="00425134"/>
    <w:rsid w:val="004259F3"/>
    <w:rsid w:val="00426084"/>
    <w:rsid w:val="00426C2E"/>
    <w:rsid w:val="00426FF3"/>
    <w:rsid w:val="00427A25"/>
    <w:rsid w:val="00427BAD"/>
    <w:rsid w:val="00430060"/>
    <w:rsid w:val="00430FFC"/>
    <w:rsid w:val="00431713"/>
    <w:rsid w:val="00431F09"/>
    <w:rsid w:val="004321FC"/>
    <w:rsid w:val="0043299C"/>
    <w:rsid w:val="004332EE"/>
    <w:rsid w:val="00433336"/>
    <w:rsid w:val="00433520"/>
    <w:rsid w:val="00433587"/>
    <w:rsid w:val="00433645"/>
    <w:rsid w:val="004336C0"/>
    <w:rsid w:val="00433B3A"/>
    <w:rsid w:val="00433C79"/>
    <w:rsid w:val="00434283"/>
    <w:rsid w:val="0043439D"/>
    <w:rsid w:val="00434544"/>
    <w:rsid w:val="00434753"/>
    <w:rsid w:val="004354EC"/>
    <w:rsid w:val="004354F2"/>
    <w:rsid w:val="00435F5A"/>
    <w:rsid w:val="00436596"/>
    <w:rsid w:val="00436A07"/>
    <w:rsid w:val="00436BF7"/>
    <w:rsid w:val="00436EA9"/>
    <w:rsid w:val="004370EB"/>
    <w:rsid w:val="0043741C"/>
    <w:rsid w:val="004377F3"/>
    <w:rsid w:val="0044004E"/>
    <w:rsid w:val="00440694"/>
    <w:rsid w:val="00440821"/>
    <w:rsid w:val="00440F4C"/>
    <w:rsid w:val="00441ABE"/>
    <w:rsid w:val="00441AE4"/>
    <w:rsid w:val="00442120"/>
    <w:rsid w:val="00442854"/>
    <w:rsid w:val="00443572"/>
    <w:rsid w:val="00443AB1"/>
    <w:rsid w:val="00445017"/>
    <w:rsid w:val="00445643"/>
    <w:rsid w:val="00446277"/>
    <w:rsid w:val="00446E85"/>
    <w:rsid w:val="00447CEE"/>
    <w:rsid w:val="00447F25"/>
    <w:rsid w:val="0045002D"/>
    <w:rsid w:val="004500D1"/>
    <w:rsid w:val="00450B4A"/>
    <w:rsid w:val="00450FD9"/>
    <w:rsid w:val="0045199C"/>
    <w:rsid w:val="004520DF"/>
    <w:rsid w:val="004522E0"/>
    <w:rsid w:val="00452962"/>
    <w:rsid w:val="00452990"/>
    <w:rsid w:val="00452DCC"/>
    <w:rsid w:val="00452F4A"/>
    <w:rsid w:val="0045375C"/>
    <w:rsid w:val="0045389D"/>
    <w:rsid w:val="00453E56"/>
    <w:rsid w:val="0045427A"/>
    <w:rsid w:val="00454907"/>
    <w:rsid w:val="00454B68"/>
    <w:rsid w:val="00454CC4"/>
    <w:rsid w:val="00454D72"/>
    <w:rsid w:val="0045524E"/>
    <w:rsid w:val="004552A2"/>
    <w:rsid w:val="00455B96"/>
    <w:rsid w:val="00455F2D"/>
    <w:rsid w:val="004561A5"/>
    <w:rsid w:val="00456F1F"/>
    <w:rsid w:val="004570AA"/>
    <w:rsid w:val="0045740D"/>
    <w:rsid w:val="00457E94"/>
    <w:rsid w:val="00457F07"/>
    <w:rsid w:val="004606CA"/>
    <w:rsid w:val="004607F2"/>
    <w:rsid w:val="004610A1"/>
    <w:rsid w:val="00462B3A"/>
    <w:rsid w:val="0046340E"/>
    <w:rsid w:val="004634F6"/>
    <w:rsid w:val="00464325"/>
    <w:rsid w:val="004647BE"/>
    <w:rsid w:val="00464936"/>
    <w:rsid w:val="00464950"/>
    <w:rsid w:val="0046587C"/>
    <w:rsid w:val="004658F0"/>
    <w:rsid w:val="004659C8"/>
    <w:rsid w:val="004662DB"/>
    <w:rsid w:val="00466561"/>
    <w:rsid w:val="00466598"/>
    <w:rsid w:val="00466B71"/>
    <w:rsid w:val="00467E6E"/>
    <w:rsid w:val="00470F75"/>
    <w:rsid w:val="00470F92"/>
    <w:rsid w:val="004711C6"/>
    <w:rsid w:val="00471378"/>
    <w:rsid w:val="004713B3"/>
    <w:rsid w:val="00471787"/>
    <w:rsid w:val="0047235F"/>
    <w:rsid w:val="004723D7"/>
    <w:rsid w:val="00472B64"/>
    <w:rsid w:val="0047339E"/>
    <w:rsid w:val="00473408"/>
    <w:rsid w:val="0047370E"/>
    <w:rsid w:val="00473992"/>
    <w:rsid w:val="004739B1"/>
    <w:rsid w:val="004745AC"/>
    <w:rsid w:val="004748F2"/>
    <w:rsid w:val="004751AD"/>
    <w:rsid w:val="004760D3"/>
    <w:rsid w:val="00476A3B"/>
    <w:rsid w:val="00476EA5"/>
    <w:rsid w:val="0047728B"/>
    <w:rsid w:val="004779ED"/>
    <w:rsid w:val="00480607"/>
    <w:rsid w:val="0048082D"/>
    <w:rsid w:val="00480947"/>
    <w:rsid w:val="004811F9"/>
    <w:rsid w:val="004816D3"/>
    <w:rsid w:val="0048182F"/>
    <w:rsid w:val="004823FD"/>
    <w:rsid w:val="00482B39"/>
    <w:rsid w:val="00482B9E"/>
    <w:rsid w:val="00482EB8"/>
    <w:rsid w:val="00484392"/>
    <w:rsid w:val="0048528C"/>
    <w:rsid w:val="0048588B"/>
    <w:rsid w:val="00485893"/>
    <w:rsid w:val="0048614C"/>
    <w:rsid w:val="00487737"/>
    <w:rsid w:val="00487E0F"/>
    <w:rsid w:val="00490211"/>
    <w:rsid w:val="0049087C"/>
    <w:rsid w:val="00491435"/>
    <w:rsid w:val="0049157B"/>
    <w:rsid w:val="00492593"/>
    <w:rsid w:val="00494007"/>
    <w:rsid w:val="0049458E"/>
    <w:rsid w:val="00494B62"/>
    <w:rsid w:val="00495B18"/>
    <w:rsid w:val="00496051"/>
    <w:rsid w:val="00496689"/>
    <w:rsid w:val="00496E2C"/>
    <w:rsid w:val="00496F49"/>
    <w:rsid w:val="00496FA9"/>
    <w:rsid w:val="00497048"/>
    <w:rsid w:val="00497167"/>
    <w:rsid w:val="004A0326"/>
    <w:rsid w:val="004A1081"/>
    <w:rsid w:val="004A1448"/>
    <w:rsid w:val="004A1EDB"/>
    <w:rsid w:val="004A275E"/>
    <w:rsid w:val="004A29E6"/>
    <w:rsid w:val="004A2F73"/>
    <w:rsid w:val="004A3200"/>
    <w:rsid w:val="004A34C6"/>
    <w:rsid w:val="004A444D"/>
    <w:rsid w:val="004A44FE"/>
    <w:rsid w:val="004A47C8"/>
    <w:rsid w:val="004A50FE"/>
    <w:rsid w:val="004A532F"/>
    <w:rsid w:val="004A5BC1"/>
    <w:rsid w:val="004A699A"/>
    <w:rsid w:val="004A7454"/>
    <w:rsid w:val="004A7C3D"/>
    <w:rsid w:val="004B00EE"/>
    <w:rsid w:val="004B0C29"/>
    <w:rsid w:val="004B0D82"/>
    <w:rsid w:val="004B0DDA"/>
    <w:rsid w:val="004B119C"/>
    <w:rsid w:val="004B245F"/>
    <w:rsid w:val="004B2BEE"/>
    <w:rsid w:val="004B2C4B"/>
    <w:rsid w:val="004B2CCF"/>
    <w:rsid w:val="004B338F"/>
    <w:rsid w:val="004B3568"/>
    <w:rsid w:val="004B3F3F"/>
    <w:rsid w:val="004B48CE"/>
    <w:rsid w:val="004B4FE1"/>
    <w:rsid w:val="004B60BC"/>
    <w:rsid w:val="004B685D"/>
    <w:rsid w:val="004B69B2"/>
    <w:rsid w:val="004B6A17"/>
    <w:rsid w:val="004B783B"/>
    <w:rsid w:val="004B7B60"/>
    <w:rsid w:val="004B7D66"/>
    <w:rsid w:val="004C0420"/>
    <w:rsid w:val="004C07A4"/>
    <w:rsid w:val="004C09D2"/>
    <w:rsid w:val="004C0B73"/>
    <w:rsid w:val="004C1FCF"/>
    <w:rsid w:val="004C26C7"/>
    <w:rsid w:val="004C27EE"/>
    <w:rsid w:val="004C2800"/>
    <w:rsid w:val="004C2CAF"/>
    <w:rsid w:val="004C3132"/>
    <w:rsid w:val="004C3808"/>
    <w:rsid w:val="004C392A"/>
    <w:rsid w:val="004C4201"/>
    <w:rsid w:val="004C4890"/>
    <w:rsid w:val="004C4C23"/>
    <w:rsid w:val="004C508B"/>
    <w:rsid w:val="004C50B9"/>
    <w:rsid w:val="004C58AB"/>
    <w:rsid w:val="004C6692"/>
    <w:rsid w:val="004D0680"/>
    <w:rsid w:val="004D09AB"/>
    <w:rsid w:val="004D09AE"/>
    <w:rsid w:val="004D0E8E"/>
    <w:rsid w:val="004D17F2"/>
    <w:rsid w:val="004D1832"/>
    <w:rsid w:val="004D261F"/>
    <w:rsid w:val="004D2F2F"/>
    <w:rsid w:val="004D2FCC"/>
    <w:rsid w:val="004D35C7"/>
    <w:rsid w:val="004D37A5"/>
    <w:rsid w:val="004D40F1"/>
    <w:rsid w:val="004D4599"/>
    <w:rsid w:val="004D460B"/>
    <w:rsid w:val="004D46AF"/>
    <w:rsid w:val="004D485A"/>
    <w:rsid w:val="004D491C"/>
    <w:rsid w:val="004D4D10"/>
    <w:rsid w:val="004D52BC"/>
    <w:rsid w:val="004D5543"/>
    <w:rsid w:val="004D68A1"/>
    <w:rsid w:val="004D6B85"/>
    <w:rsid w:val="004D79D1"/>
    <w:rsid w:val="004E0BC0"/>
    <w:rsid w:val="004E0FB6"/>
    <w:rsid w:val="004E124C"/>
    <w:rsid w:val="004E1A1D"/>
    <w:rsid w:val="004E1B5A"/>
    <w:rsid w:val="004E1E5C"/>
    <w:rsid w:val="004E208E"/>
    <w:rsid w:val="004E2240"/>
    <w:rsid w:val="004E273D"/>
    <w:rsid w:val="004E2C03"/>
    <w:rsid w:val="004E30B1"/>
    <w:rsid w:val="004E3370"/>
    <w:rsid w:val="004E350E"/>
    <w:rsid w:val="004E4347"/>
    <w:rsid w:val="004E4578"/>
    <w:rsid w:val="004E4EDB"/>
    <w:rsid w:val="004E502B"/>
    <w:rsid w:val="004E55EB"/>
    <w:rsid w:val="004E560B"/>
    <w:rsid w:val="004E5B24"/>
    <w:rsid w:val="004E5BD4"/>
    <w:rsid w:val="004E5E1C"/>
    <w:rsid w:val="004E60BD"/>
    <w:rsid w:val="004E6D8C"/>
    <w:rsid w:val="004E7481"/>
    <w:rsid w:val="004E7D34"/>
    <w:rsid w:val="004F00DE"/>
    <w:rsid w:val="004F0444"/>
    <w:rsid w:val="004F04A9"/>
    <w:rsid w:val="004F0794"/>
    <w:rsid w:val="004F1529"/>
    <w:rsid w:val="004F1F9E"/>
    <w:rsid w:val="004F323F"/>
    <w:rsid w:val="004F366C"/>
    <w:rsid w:val="004F3EA8"/>
    <w:rsid w:val="004F3F01"/>
    <w:rsid w:val="004F3FAF"/>
    <w:rsid w:val="004F4081"/>
    <w:rsid w:val="004F4BA6"/>
    <w:rsid w:val="004F4D95"/>
    <w:rsid w:val="004F53AC"/>
    <w:rsid w:val="004F59DF"/>
    <w:rsid w:val="004F5CAC"/>
    <w:rsid w:val="004F5EA0"/>
    <w:rsid w:val="004F60CA"/>
    <w:rsid w:val="004F61A6"/>
    <w:rsid w:val="004F61EF"/>
    <w:rsid w:val="004F6C9E"/>
    <w:rsid w:val="004F6E56"/>
    <w:rsid w:val="004F7266"/>
    <w:rsid w:val="004F7515"/>
    <w:rsid w:val="004F7C71"/>
    <w:rsid w:val="004F7D9D"/>
    <w:rsid w:val="005009BD"/>
    <w:rsid w:val="00500D7E"/>
    <w:rsid w:val="0050154A"/>
    <w:rsid w:val="005018D1"/>
    <w:rsid w:val="00501BF4"/>
    <w:rsid w:val="00501CD3"/>
    <w:rsid w:val="00502CFC"/>
    <w:rsid w:val="00503155"/>
    <w:rsid w:val="005032C3"/>
    <w:rsid w:val="0050344B"/>
    <w:rsid w:val="00503660"/>
    <w:rsid w:val="0050394C"/>
    <w:rsid w:val="00503F7F"/>
    <w:rsid w:val="005046D8"/>
    <w:rsid w:val="00505A78"/>
    <w:rsid w:val="00505BEC"/>
    <w:rsid w:val="00505E42"/>
    <w:rsid w:val="005066CC"/>
    <w:rsid w:val="00506864"/>
    <w:rsid w:val="005069F7"/>
    <w:rsid w:val="00506A89"/>
    <w:rsid w:val="00506DF4"/>
    <w:rsid w:val="00506E21"/>
    <w:rsid w:val="00507038"/>
    <w:rsid w:val="0050704C"/>
    <w:rsid w:val="00507ACB"/>
    <w:rsid w:val="005101D0"/>
    <w:rsid w:val="0051041C"/>
    <w:rsid w:val="00510A6F"/>
    <w:rsid w:val="00510BB5"/>
    <w:rsid w:val="0051179A"/>
    <w:rsid w:val="00512456"/>
    <w:rsid w:val="00512CD3"/>
    <w:rsid w:val="00514198"/>
    <w:rsid w:val="005159FC"/>
    <w:rsid w:val="00515D42"/>
    <w:rsid w:val="00516316"/>
    <w:rsid w:val="00517029"/>
    <w:rsid w:val="00517570"/>
    <w:rsid w:val="0051762C"/>
    <w:rsid w:val="00517719"/>
    <w:rsid w:val="00517C6F"/>
    <w:rsid w:val="00517F11"/>
    <w:rsid w:val="005213C8"/>
    <w:rsid w:val="005222A7"/>
    <w:rsid w:val="005224AD"/>
    <w:rsid w:val="0052380E"/>
    <w:rsid w:val="00523C54"/>
    <w:rsid w:val="0052404E"/>
    <w:rsid w:val="00524C1C"/>
    <w:rsid w:val="00524CD6"/>
    <w:rsid w:val="00524FE5"/>
    <w:rsid w:val="005251EC"/>
    <w:rsid w:val="0052560D"/>
    <w:rsid w:val="00525E0E"/>
    <w:rsid w:val="00525E14"/>
    <w:rsid w:val="00525FCB"/>
    <w:rsid w:val="00526058"/>
    <w:rsid w:val="00526125"/>
    <w:rsid w:val="005261D3"/>
    <w:rsid w:val="0052725E"/>
    <w:rsid w:val="005272CC"/>
    <w:rsid w:val="00527B6D"/>
    <w:rsid w:val="00527C73"/>
    <w:rsid w:val="005302F6"/>
    <w:rsid w:val="005304EA"/>
    <w:rsid w:val="00531C74"/>
    <w:rsid w:val="00532A70"/>
    <w:rsid w:val="00533B03"/>
    <w:rsid w:val="00533CA7"/>
    <w:rsid w:val="00533DBF"/>
    <w:rsid w:val="0053425A"/>
    <w:rsid w:val="005347D8"/>
    <w:rsid w:val="005347ED"/>
    <w:rsid w:val="00534A6E"/>
    <w:rsid w:val="00535613"/>
    <w:rsid w:val="0053713D"/>
    <w:rsid w:val="005374C2"/>
    <w:rsid w:val="00537CB7"/>
    <w:rsid w:val="00540205"/>
    <w:rsid w:val="00540230"/>
    <w:rsid w:val="0054080A"/>
    <w:rsid w:val="00540C97"/>
    <w:rsid w:val="00540CF5"/>
    <w:rsid w:val="005410AA"/>
    <w:rsid w:val="00541DEA"/>
    <w:rsid w:val="00542132"/>
    <w:rsid w:val="00542AF3"/>
    <w:rsid w:val="00543A89"/>
    <w:rsid w:val="00543F05"/>
    <w:rsid w:val="0054477F"/>
    <w:rsid w:val="00544BFC"/>
    <w:rsid w:val="00545130"/>
    <w:rsid w:val="005453C9"/>
    <w:rsid w:val="00545625"/>
    <w:rsid w:val="00546659"/>
    <w:rsid w:val="00546B00"/>
    <w:rsid w:val="00546BE1"/>
    <w:rsid w:val="00546E8E"/>
    <w:rsid w:val="0054778C"/>
    <w:rsid w:val="00550019"/>
    <w:rsid w:val="005501DB"/>
    <w:rsid w:val="005505C8"/>
    <w:rsid w:val="00550ED2"/>
    <w:rsid w:val="0055132F"/>
    <w:rsid w:val="005514A3"/>
    <w:rsid w:val="005514EB"/>
    <w:rsid w:val="00551EE4"/>
    <w:rsid w:val="00552630"/>
    <w:rsid w:val="00552AF3"/>
    <w:rsid w:val="00552C4B"/>
    <w:rsid w:val="0055343A"/>
    <w:rsid w:val="0055359D"/>
    <w:rsid w:val="005537FF"/>
    <w:rsid w:val="00554359"/>
    <w:rsid w:val="00554364"/>
    <w:rsid w:val="00554B54"/>
    <w:rsid w:val="00555D35"/>
    <w:rsid w:val="00555DF1"/>
    <w:rsid w:val="00555EF0"/>
    <w:rsid w:val="005563E1"/>
    <w:rsid w:val="00556564"/>
    <w:rsid w:val="005567BC"/>
    <w:rsid w:val="00556B72"/>
    <w:rsid w:val="00557F69"/>
    <w:rsid w:val="00560545"/>
    <w:rsid w:val="0056178D"/>
    <w:rsid w:val="00561A10"/>
    <w:rsid w:val="00561BAE"/>
    <w:rsid w:val="00562655"/>
    <w:rsid w:val="005627A8"/>
    <w:rsid w:val="00563884"/>
    <w:rsid w:val="0056444A"/>
    <w:rsid w:val="00564C56"/>
    <w:rsid w:val="00565971"/>
    <w:rsid w:val="00565B33"/>
    <w:rsid w:val="00565BAF"/>
    <w:rsid w:val="00566312"/>
    <w:rsid w:val="005663CB"/>
    <w:rsid w:val="00566BE6"/>
    <w:rsid w:val="00566C07"/>
    <w:rsid w:val="00566E5D"/>
    <w:rsid w:val="005675FE"/>
    <w:rsid w:val="00567E88"/>
    <w:rsid w:val="0057016A"/>
    <w:rsid w:val="00570FB4"/>
    <w:rsid w:val="0057104C"/>
    <w:rsid w:val="00571A78"/>
    <w:rsid w:val="00571EE2"/>
    <w:rsid w:val="0057250D"/>
    <w:rsid w:val="00573131"/>
    <w:rsid w:val="00573741"/>
    <w:rsid w:val="00573A4C"/>
    <w:rsid w:val="00573C52"/>
    <w:rsid w:val="0057490F"/>
    <w:rsid w:val="00575005"/>
    <w:rsid w:val="00575034"/>
    <w:rsid w:val="00575C36"/>
    <w:rsid w:val="00576558"/>
    <w:rsid w:val="0057655D"/>
    <w:rsid w:val="005772EC"/>
    <w:rsid w:val="00577A9A"/>
    <w:rsid w:val="005802FD"/>
    <w:rsid w:val="0058032C"/>
    <w:rsid w:val="00580988"/>
    <w:rsid w:val="005814BA"/>
    <w:rsid w:val="0058171C"/>
    <w:rsid w:val="005819E3"/>
    <w:rsid w:val="00582147"/>
    <w:rsid w:val="00582537"/>
    <w:rsid w:val="005827C1"/>
    <w:rsid w:val="0058318E"/>
    <w:rsid w:val="005832E2"/>
    <w:rsid w:val="005839DC"/>
    <w:rsid w:val="00584081"/>
    <w:rsid w:val="0058484C"/>
    <w:rsid w:val="00584AC6"/>
    <w:rsid w:val="00584B76"/>
    <w:rsid w:val="00584F1E"/>
    <w:rsid w:val="0058565A"/>
    <w:rsid w:val="005857D9"/>
    <w:rsid w:val="00585945"/>
    <w:rsid w:val="00585A5A"/>
    <w:rsid w:val="00585D3C"/>
    <w:rsid w:val="00586339"/>
    <w:rsid w:val="0058635A"/>
    <w:rsid w:val="00586861"/>
    <w:rsid w:val="0058752E"/>
    <w:rsid w:val="005877B0"/>
    <w:rsid w:val="00590098"/>
    <w:rsid w:val="00590382"/>
    <w:rsid w:val="0059139C"/>
    <w:rsid w:val="005918F3"/>
    <w:rsid w:val="00593AD6"/>
    <w:rsid w:val="00593BB7"/>
    <w:rsid w:val="00593E55"/>
    <w:rsid w:val="005943C9"/>
    <w:rsid w:val="00594950"/>
    <w:rsid w:val="00594BAA"/>
    <w:rsid w:val="00594F76"/>
    <w:rsid w:val="00595A3A"/>
    <w:rsid w:val="00595E51"/>
    <w:rsid w:val="00596301"/>
    <w:rsid w:val="0059663E"/>
    <w:rsid w:val="00596E36"/>
    <w:rsid w:val="00597DA7"/>
    <w:rsid w:val="00597E27"/>
    <w:rsid w:val="005A04B0"/>
    <w:rsid w:val="005A0650"/>
    <w:rsid w:val="005A082D"/>
    <w:rsid w:val="005A0A25"/>
    <w:rsid w:val="005A0D15"/>
    <w:rsid w:val="005A0D3C"/>
    <w:rsid w:val="005A287E"/>
    <w:rsid w:val="005A2B2A"/>
    <w:rsid w:val="005A2D03"/>
    <w:rsid w:val="005A2EAE"/>
    <w:rsid w:val="005A3C0B"/>
    <w:rsid w:val="005A42E5"/>
    <w:rsid w:val="005A4677"/>
    <w:rsid w:val="005A4EF4"/>
    <w:rsid w:val="005A5008"/>
    <w:rsid w:val="005A5F09"/>
    <w:rsid w:val="005A5F39"/>
    <w:rsid w:val="005A7662"/>
    <w:rsid w:val="005A7836"/>
    <w:rsid w:val="005A7B0A"/>
    <w:rsid w:val="005A7FB4"/>
    <w:rsid w:val="005B091E"/>
    <w:rsid w:val="005B0BC2"/>
    <w:rsid w:val="005B139B"/>
    <w:rsid w:val="005B1C48"/>
    <w:rsid w:val="005B200D"/>
    <w:rsid w:val="005B3958"/>
    <w:rsid w:val="005B3FD8"/>
    <w:rsid w:val="005B4796"/>
    <w:rsid w:val="005B4D0B"/>
    <w:rsid w:val="005B4E89"/>
    <w:rsid w:val="005B4EE0"/>
    <w:rsid w:val="005B540A"/>
    <w:rsid w:val="005B55A6"/>
    <w:rsid w:val="005B57F1"/>
    <w:rsid w:val="005B5C19"/>
    <w:rsid w:val="005B63E0"/>
    <w:rsid w:val="005B6520"/>
    <w:rsid w:val="005B6ACA"/>
    <w:rsid w:val="005B7227"/>
    <w:rsid w:val="005B744B"/>
    <w:rsid w:val="005B76C5"/>
    <w:rsid w:val="005C02B6"/>
    <w:rsid w:val="005C0A1F"/>
    <w:rsid w:val="005C0CAE"/>
    <w:rsid w:val="005C11A1"/>
    <w:rsid w:val="005C1421"/>
    <w:rsid w:val="005C1C4F"/>
    <w:rsid w:val="005C1F42"/>
    <w:rsid w:val="005C296C"/>
    <w:rsid w:val="005C299F"/>
    <w:rsid w:val="005C359B"/>
    <w:rsid w:val="005C3BB0"/>
    <w:rsid w:val="005C410E"/>
    <w:rsid w:val="005C45A9"/>
    <w:rsid w:val="005C5F69"/>
    <w:rsid w:val="005C6753"/>
    <w:rsid w:val="005C6935"/>
    <w:rsid w:val="005C6C3E"/>
    <w:rsid w:val="005C74AB"/>
    <w:rsid w:val="005C759A"/>
    <w:rsid w:val="005D06F2"/>
    <w:rsid w:val="005D0C00"/>
    <w:rsid w:val="005D1260"/>
    <w:rsid w:val="005D12E6"/>
    <w:rsid w:val="005D1F66"/>
    <w:rsid w:val="005D2908"/>
    <w:rsid w:val="005D2AF3"/>
    <w:rsid w:val="005D32A4"/>
    <w:rsid w:val="005D3D42"/>
    <w:rsid w:val="005D4AC6"/>
    <w:rsid w:val="005D4DED"/>
    <w:rsid w:val="005D4E2B"/>
    <w:rsid w:val="005D66A3"/>
    <w:rsid w:val="005D6741"/>
    <w:rsid w:val="005D69C1"/>
    <w:rsid w:val="005D79EE"/>
    <w:rsid w:val="005D7A48"/>
    <w:rsid w:val="005D7AF1"/>
    <w:rsid w:val="005D7E86"/>
    <w:rsid w:val="005E036C"/>
    <w:rsid w:val="005E0B7B"/>
    <w:rsid w:val="005E1A9E"/>
    <w:rsid w:val="005E1BD9"/>
    <w:rsid w:val="005E2042"/>
    <w:rsid w:val="005E210B"/>
    <w:rsid w:val="005E346B"/>
    <w:rsid w:val="005E3C14"/>
    <w:rsid w:val="005E3EA9"/>
    <w:rsid w:val="005E4066"/>
    <w:rsid w:val="005E465C"/>
    <w:rsid w:val="005E5465"/>
    <w:rsid w:val="005E5953"/>
    <w:rsid w:val="005E633C"/>
    <w:rsid w:val="005E6AC0"/>
    <w:rsid w:val="005E6EFD"/>
    <w:rsid w:val="005E7270"/>
    <w:rsid w:val="005E7A8E"/>
    <w:rsid w:val="005F00A4"/>
    <w:rsid w:val="005F0561"/>
    <w:rsid w:val="005F0EC5"/>
    <w:rsid w:val="005F10F6"/>
    <w:rsid w:val="005F15D2"/>
    <w:rsid w:val="005F18E0"/>
    <w:rsid w:val="005F1D97"/>
    <w:rsid w:val="005F21A0"/>
    <w:rsid w:val="005F21B8"/>
    <w:rsid w:val="005F2871"/>
    <w:rsid w:val="005F2D1D"/>
    <w:rsid w:val="005F2D99"/>
    <w:rsid w:val="005F46EF"/>
    <w:rsid w:val="005F4979"/>
    <w:rsid w:val="005F4C6F"/>
    <w:rsid w:val="005F4E9A"/>
    <w:rsid w:val="005F56D5"/>
    <w:rsid w:val="005F60A3"/>
    <w:rsid w:val="005F6113"/>
    <w:rsid w:val="005F66DB"/>
    <w:rsid w:val="005F6978"/>
    <w:rsid w:val="005F6F60"/>
    <w:rsid w:val="005F71CF"/>
    <w:rsid w:val="005F73B8"/>
    <w:rsid w:val="005F7AD7"/>
    <w:rsid w:val="005F7B66"/>
    <w:rsid w:val="005F7CC6"/>
    <w:rsid w:val="00600387"/>
    <w:rsid w:val="00600BE4"/>
    <w:rsid w:val="00600EF9"/>
    <w:rsid w:val="00601246"/>
    <w:rsid w:val="0060164A"/>
    <w:rsid w:val="00601683"/>
    <w:rsid w:val="00602BBA"/>
    <w:rsid w:val="00603664"/>
    <w:rsid w:val="00603AE1"/>
    <w:rsid w:val="00603ED1"/>
    <w:rsid w:val="00604339"/>
    <w:rsid w:val="0060577F"/>
    <w:rsid w:val="00605A9A"/>
    <w:rsid w:val="00605D51"/>
    <w:rsid w:val="0060604D"/>
    <w:rsid w:val="00606194"/>
    <w:rsid w:val="00606548"/>
    <w:rsid w:val="00606BB3"/>
    <w:rsid w:val="006070D2"/>
    <w:rsid w:val="0060739B"/>
    <w:rsid w:val="006073F2"/>
    <w:rsid w:val="00610CA1"/>
    <w:rsid w:val="006117E3"/>
    <w:rsid w:val="00611A37"/>
    <w:rsid w:val="00611A4C"/>
    <w:rsid w:val="00611B6B"/>
    <w:rsid w:val="00611BCA"/>
    <w:rsid w:val="00611E79"/>
    <w:rsid w:val="00612121"/>
    <w:rsid w:val="00612C9E"/>
    <w:rsid w:val="00612E9D"/>
    <w:rsid w:val="00613123"/>
    <w:rsid w:val="00613F6C"/>
    <w:rsid w:val="00614001"/>
    <w:rsid w:val="006141EB"/>
    <w:rsid w:val="00614220"/>
    <w:rsid w:val="00615C2C"/>
    <w:rsid w:val="00615FB5"/>
    <w:rsid w:val="0061673F"/>
    <w:rsid w:val="00617763"/>
    <w:rsid w:val="00617FDA"/>
    <w:rsid w:val="0062006B"/>
    <w:rsid w:val="006200AC"/>
    <w:rsid w:val="0062065B"/>
    <w:rsid w:val="006213D7"/>
    <w:rsid w:val="006219C5"/>
    <w:rsid w:val="0062328D"/>
    <w:rsid w:val="006234C6"/>
    <w:rsid w:val="006239D3"/>
    <w:rsid w:val="00623A94"/>
    <w:rsid w:val="00624357"/>
    <w:rsid w:val="0062457E"/>
    <w:rsid w:val="00624C99"/>
    <w:rsid w:val="006250BC"/>
    <w:rsid w:val="0062575C"/>
    <w:rsid w:val="006262A6"/>
    <w:rsid w:val="006264E6"/>
    <w:rsid w:val="00626960"/>
    <w:rsid w:val="00627AD2"/>
    <w:rsid w:val="00627E81"/>
    <w:rsid w:val="00630806"/>
    <w:rsid w:val="00631BA3"/>
    <w:rsid w:val="00631E3E"/>
    <w:rsid w:val="00632484"/>
    <w:rsid w:val="00633823"/>
    <w:rsid w:val="0063398A"/>
    <w:rsid w:val="0063422E"/>
    <w:rsid w:val="006344CA"/>
    <w:rsid w:val="00634610"/>
    <w:rsid w:val="0063479F"/>
    <w:rsid w:val="00634901"/>
    <w:rsid w:val="00634B9F"/>
    <w:rsid w:val="00635311"/>
    <w:rsid w:val="00635372"/>
    <w:rsid w:val="006358F2"/>
    <w:rsid w:val="006359E5"/>
    <w:rsid w:val="00635A06"/>
    <w:rsid w:val="00635B67"/>
    <w:rsid w:val="006367B2"/>
    <w:rsid w:val="00636A4B"/>
    <w:rsid w:val="00636CEB"/>
    <w:rsid w:val="00637255"/>
    <w:rsid w:val="00637A72"/>
    <w:rsid w:val="00637D05"/>
    <w:rsid w:val="00640935"/>
    <w:rsid w:val="00641483"/>
    <w:rsid w:val="0064173B"/>
    <w:rsid w:val="006419B0"/>
    <w:rsid w:val="00642A9B"/>
    <w:rsid w:val="00643539"/>
    <w:rsid w:val="00643D73"/>
    <w:rsid w:val="006446F2"/>
    <w:rsid w:val="00645064"/>
    <w:rsid w:val="00645449"/>
    <w:rsid w:val="00645B24"/>
    <w:rsid w:val="00646034"/>
    <w:rsid w:val="00646671"/>
    <w:rsid w:val="0064667F"/>
    <w:rsid w:val="006472D4"/>
    <w:rsid w:val="00647811"/>
    <w:rsid w:val="00647EAB"/>
    <w:rsid w:val="00647F17"/>
    <w:rsid w:val="0065029E"/>
    <w:rsid w:val="00650478"/>
    <w:rsid w:val="00650597"/>
    <w:rsid w:val="006515BA"/>
    <w:rsid w:val="00651DE1"/>
    <w:rsid w:val="00652363"/>
    <w:rsid w:val="00652C4D"/>
    <w:rsid w:val="00653099"/>
    <w:rsid w:val="0065319C"/>
    <w:rsid w:val="00653800"/>
    <w:rsid w:val="00653D59"/>
    <w:rsid w:val="00654014"/>
    <w:rsid w:val="006545BB"/>
    <w:rsid w:val="0065472B"/>
    <w:rsid w:val="0065548E"/>
    <w:rsid w:val="00656109"/>
    <w:rsid w:val="00656270"/>
    <w:rsid w:val="00656677"/>
    <w:rsid w:val="006569B0"/>
    <w:rsid w:val="006569F9"/>
    <w:rsid w:val="006574E5"/>
    <w:rsid w:val="006579BE"/>
    <w:rsid w:val="00657B70"/>
    <w:rsid w:val="00660C16"/>
    <w:rsid w:val="00660CC3"/>
    <w:rsid w:val="00660CD4"/>
    <w:rsid w:val="00660DF7"/>
    <w:rsid w:val="00660F55"/>
    <w:rsid w:val="006616C2"/>
    <w:rsid w:val="006617B0"/>
    <w:rsid w:val="00661BF2"/>
    <w:rsid w:val="0066227D"/>
    <w:rsid w:val="0066352D"/>
    <w:rsid w:val="00664540"/>
    <w:rsid w:val="00664575"/>
    <w:rsid w:val="006646DB"/>
    <w:rsid w:val="00664B60"/>
    <w:rsid w:val="0066539C"/>
    <w:rsid w:val="00665587"/>
    <w:rsid w:val="00665B17"/>
    <w:rsid w:val="006667E1"/>
    <w:rsid w:val="00667085"/>
    <w:rsid w:val="0066708F"/>
    <w:rsid w:val="0067018C"/>
    <w:rsid w:val="00670D34"/>
    <w:rsid w:val="00670DF5"/>
    <w:rsid w:val="0067154C"/>
    <w:rsid w:val="00671AC1"/>
    <w:rsid w:val="00672BC1"/>
    <w:rsid w:val="006739C9"/>
    <w:rsid w:val="00674607"/>
    <w:rsid w:val="0067685B"/>
    <w:rsid w:val="00676A7A"/>
    <w:rsid w:val="006771F4"/>
    <w:rsid w:val="00677A96"/>
    <w:rsid w:val="0068015C"/>
    <w:rsid w:val="0068046E"/>
    <w:rsid w:val="0068070E"/>
    <w:rsid w:val="00681203"/>
    <w:rsid w:val="0068235A"/>
    <w:rsid w:val="006825D2"/>
    <w:rsid w:val="006827E4"/>
    <w:rsid w:val="00682C67"/>
    <w:rsid w:val="0068303F"/>
    <w:rsid w:val="00683469"/>
    <w:rsid w:val="00683D0C"/>
    <w:rsid w:val="00684463"/>
    <w:rsid w:val="00684EBC"/>
    <w:rsid w:val="006850AE"/>
    <w:rsid w:val="0068597E"/>
    <w:rsid w:val="00685DD2"/>
    <w:rsid w:val="00686256"/>
    <w:rsid w:val="006865B9"/>
    <w:rsid w:val="00686809"/>
    <w:rsid w:val="006876A3"/>
    <w:rsid w:val="00690EDA"/>
    <w:rsid w:val="00691B1D"/>
    <w:rsid w:val="0069221A"/>
    <w:rsid w:val="00693E77"/>
    <w:rsid w:val="00694115"/>
    <w:rsid w:val="0069513C"/>
    <w:rsid w:val="00695CC4"/>
    <w:rsid w:val="00695E79"/>
    <w:rsid w:val="00696298"/>
    <w:rsid w:val="00696647"/>
    <w:rsid w:val="006968B7"/>
    <w:rsid w:val="006969D5"/>
    <w:rsid w:val="00696D2B"/>
    <w:rsid w:val="006971E4"/>
    <w:rsid w:val="0069733C"/>
    <w:rsid w:val="00697599"/>
    <w:rsid w:val="00697848"/>
    <w:rsid w:val="00697AE1"/>
    <w:rsid w:val="006A0811"/>
    <w:rsid w:val="006A0842"/>
    <w:rsid w:val="006A0BD3"/>
    <w:rsid w:val="006A169D"/>
    <w:rsid w:val="006A185B"/>
    <w:rsid w:val="006A2093"/>
    <w:rsid w:val="006A26BB"/>
    <w:rsid w:val="006A46CD"/>
    <w:rsid w:val="006A4AD9"/>
    <w:rsid w:val="006A4DC9"/>
    <w:rsid w:val="006A5D3F"/>
    <w:rsid w:val="006A74AF"/>
    <w:rsid w:val="006A7B1C"/>
    <w:rsid w:val="006B00F4"/>
    <w:rsid w:val="006B159B"/>
    <w:rsid w:val="006B176E"/>
    <w:rsid w:val="006B17C2"/>
    <w:rsid w:val="006B1890"/>
    <w:rsid w:val="006B1F34"/>
    <w:rsid w:val="006B1F91"/>
    <w:rsid w:val="006B1FDB"/>
    <w:rsid w:val="006B2699"/>
    <w:rsid w:val="006B298D"/>
    <w:rsid w:val="006B2ACF"/>
    <w:rsid w:val="006B2B24"/>
    <w:rsid w:val="006B37B9"/>
    <w:rsid w:val="006B41FA"/>
    <w:rsid w:val="006B551F"/>
    <w:rsid w:val="006B5766"/>
    <w:rsid w:val="006B5980"/>
    <w:rsid w:val="006B618B"/>
    <w:rsid w:val="006B6C54"/>
    <w:rsid w:val="006B6F97"/>
    <w:rsid w:val="006B72DB"/>
    <w:rsid w:val="006B72E1"/>
    <w:rsid w:val="006B791E"/>
    <w:rsid w:val="006C2203"/>
    <w:rsid w:val="006C2419"/>
    <w:rsid w:val="006C248D"/>
    <w:rsid w:val="006C24C2"/>
    <w:rsid w:val="006C2AC9"/>
    <w:rsid w:val="006C2B5F"/>
    <w:rsid w:val="006C2EF6"/>
    <w:rsid w:val="006C4033"/>
    <w:rsid w:val="006C4319"/>
    <w:rsid w:val="006C4336"/>
    <w:rsid w:val="006C46BD"/>
    <w:rsid w:val="006C52A0"/>
    <w:rsid w:val="006C6436"/>
    <w:rsid w:val="006C65C8"/>
    <w:rsid w:val="006C6D5A"/>
    <w:rsid w:val="006D0258"/>
    <w:rsid w:val="006D0548"/>
    <w:rsid w:val="006D0936"/>
    <w:rsid w:val="006D1E6F"/>
    <w:rsid w:val="006D24FC"/>
    <w:rsid w:val="006D3E22"/>
    <w:rsid w:val="006D3ECF"/>
    <w:rsid w:val="006D40B0"/>
    <w:rsid w:val="006D49F3"/>
    <w:rsid w:val="006D596D"/>
    <w:rsid w:val="006D5BBB"/>
    <w:rsid w:val="006D776D"/>
    <w:rsid w:val="006D7FEE"/>
    <w:rsid w:val="006E024E"/>
    <w:rsid w:val="006E14AD"/>
    <w:rsid w:val="006E18E0"/>
    <w:rsid w:val="006E2831"/>
    <w:rsid w:val="006E3233"/>
    <w:rsid w:val="006E3CBB"/>
    <w:rsid w:val="006E4135"/>
    <w:rsid w:val="006E4416"/>
    <w:rsid w:val="006E573B"/>
    <w:rsid w:val="006E5BAD"/>
    <w:rsid w:val="006E799B"/>
    <w:rsid w:val="006E7C26"/>
    <w:rsid w:val="006F02F7"/>
    <w:rsid w:val="006F0B4F"/>
    <w:rsid w:val="006F0DAF"/>
    <w:rsid w:val="006F1A05"/>
    <w:rsid w:val="006F2140"/>
    <w:rsid w:val="006F34E2"/>
    <w:rsid w:val="006F38E9"/>
    <w:rsid w:val="006F56F4"/>
    <w:rsid w:val="006F59E0"/>
    <w:rsid w:val="006F5B2F"/>
    <w:rsid w:val="006F67F9"/>
    <w:rsid w:val="006F68EC"/>
    <w:rsid w:val="006F6F00"/>
    <w:rsid w:val="006F7784"/>
    <w:rsid w:val="006F7AF6"/>
    <w:rsid w:val="00700381"/>
    <w:rsid w:val="00700B19"/>
    <w:rsid w:val="00700C8C"/>
    <w:rsid w:val="0070121A"/>
    <w:rsid w:val="00701CB6"/>
    <w:rsid w:val="0070235A"/>
    <w:rsid w:val="0070273F"/>
    <w:rsid w:val="00703996"/>
    <w:rsid w:val="0070412B"/>
    <w:rsid w:val="00704640"/>
    <w:rsid w:val="007046DE"/>
    <w:rsid w:val="007048DF"/>
    <w:rsid w:val="00705609"/>
    <w:rsid w:val="00705A05"/>
    <w:rsid w:val="00705C54"/>
    <w:rsid w:val="00705EF8"/>
    <w:rsid w:val="00705EFA"/>
    <w:rsid w:val="00706FF3"/>
    <w:rsid w:val="0070722B"/>
    <w:rsid w:val="007073A1"/>
    <w:rsid w:val="00707BE3"/>
    <w:rsid w:val="00711B45"/>
    <w:rsid w:val="00711E14"/>
    <w:rsid w:val="00711FFC"/>
    <w:rsid w:val="00712091"/>
    <w:rsid w:val="007122AD"/>
    <w:rsid w:val="0071235D"/>
    <w:rsid w:val="00712DF0"/>
    <w:rsid w:val="007130D7"/>
    <w:rsid w:val="00713E0F"/>
    <w:rsid w:val="00714EBC"/>
    <w:rsid w:val="007155F2"/>
    <w:rsid w:val="007165FD"/>
    <w:rsid w:val="00716ACC"/>
    <w:rsid w:val="0071768C"/>
    <w:rsid w:val="0071782D"/>
    <w:rsid w:val="00717886"/>
    <w:rsid w:val="0072024D"/>
    <w:rsid w:val="0072057D"/>
    <w:rsid w:val="00720706"/>
    <w:rsid w:val="00720B20"/>
    <w:rsid w:val="00720CF2"/>
    <w:rsid w:val="00721C82"/>
    <w:rsid w:val="00721CCD"/>
    <w:rsid w:val="0072336F"/>
    <w:rsid w:val="00723C2B"/>
    <w:rsid w:val="007240FA"/>
    <w:rsid w:val="00724120"/>
    <w:rsid w:val="00724453"/>
    <w:rsid w:val="00724D72"/>
    <w:rsid w:val="00725215"/>
    <w:rsid w:val="007257F5"/>
    <w:rsid w:val="00725C11"/>
    <w:rsid w:val="00725ED2"/>
    <w:rsid w:val="00726676"/>
    <w:rsid w:val="00726B5F"/>
    <w:rsid w:val="00726DBF"/>
    <w:rsid w:val="007270DF"/>
    <w:rsid w:val="007270E6"/>
    <w:rsid w:val="00730133"/>
    <w:rsid w:val="00730453"/>
    <w:rsid w:val="00730D92"/>
    <w:rsid w:val="0073285C"/>
    <w:rsid w:val="00733578"/>
    <w:rsid w:val="00733CDD"/>
    <w:rsid w:val="00733D21"/>
    <w:rsid w:val="0073426D"/>
    <w:rsid w:val="00734FAE"/>
    <w:rsid w:val="007356C3"/>
    <w:rsid w:val="0073593A"/>
    <w:rsid w:val="00735D62"/>
    <w:rsid w:val="00735D86"/>
    <w:rsid w:val="007361EE"/>
    <w:rsid w:val="007373FE"/>
    <w:rsid w:val="007408C2"/>
    <w:rsid w:val="007409AC"/>
    <w:rsid w:val="00740E53"/>
    <w:rsid w:val="00741656"/>
    <w:rsid w:val="00741786"/>
    <w:rsid w:val="00741B44"/>
    <w:rsid w:val="00742664"/>
    <w:rsid w:val="00743951"/>
    <w:rsid w:val="00743B0F"/>
    <w:rsid w:val="00743B32"/>
    <w:rsid w:val="00743E5D"/>
    <w:rsid w:val="00744190"/>
    <w:rsid w:val="007453AA"/>
    <w:rsid w:val="007457A9"/>
    <w:rsid w:val="00746659"/>
    <w:rsid w:val="00746963"/>
    <w:rsid w:val="0075017D"/>
    <w:rsid w:val="007507E6"/>
    <w:rsid w:val="0075135F"/>
    <w:rsid w:val="00751654"/>
    <w:rsid w:val="0075182F"/>
    <w:rsid w:val="0075266F"/>
    <w:rsid w:val="00752B34"/>
    <w:rsid w:val="00752E6F"/>
    <w:rsid w:val="00752E9B"/>
    <w:rsid w:val="00753726"/>
    <w:rsid w:val="00753FB8"/>
    <w:rsid w:val="00754042"/>
    <w:rsid w:val="00754731"/>
    <w:rsid w:val="0075474C"/>
    <w:rsid w:val="00754D50"/>
    <w:rsid w:val="00755452"/>
    <w:rsid w:val="00755DAC"/>
    <w:rsid w:val="0075609C"/>
    <w:rsid w:val="0075749E"/>
    <w:rsid w:val="0075751D"/>
    <w:rsid w:val="007579F0"/>
    <w:rsid w:val="00760319"/>
    <w:rsid w:val="00760F0F"/>
    <w:rsid w:val="00761245"/>
    <w:rsid w:val="00761AA3"/>
    <w:rsid w:val="00761EEC"/>
    <w:rsid w:val="0076214A"/>
    <w:rsid w:val="0076232B"/>
    <w:rsid w:val="0076235B"/>
    <w:rsid w:val="00763087"/>
    <w:rsid w:val="007635DB"/>
    <w:rsid w:val="007638FD"/>
    <w:rsid w:val="007642C0"/>
    <w:rsid w:val="00764BE6"/>
    <w:rsid w:val="007653F4"/>
    <w:rsid w:val="0076552D"/>
    <w:rsid w:val="007658B8"/>
    <w:rsid w:val="00766172"/>
    <w:rsid w:val="00766D5E"/>
    <w:rsid w:val="00767616"/>
    <w:rsid w:val="00767B16"/>
    <w:rsid w:val="00767BCE"/>
    <w:rsid w:val="00770007"/>
    <w:rsid w:val="0077032D"/>
    <w:rsid w:val="00770B0B"/>
    <w:rsid w:val="00770ED5"/>
    <w:rsid w:val="00771106"/>
    <w:rsid w:val="007714C4"/>
    <w:rsid w:val="007715BD"/>
    <w:rsid w:val="0077242C"/>
    <w:rsid w:val="00772439"/>
    <w:rsid w:val="00772B99"/>
    <w:rsid w:val="0077334F"/>
    <w:rsid w:val="007739D9"/>
    <w:rsid w:val="007743C7"/>
    <w:rsid w:val="00774D43"/>
    <w:rsid w:val="00774DAE"/>
    <w:rsid w:val="007753D7"/>
    <w:rsid w:val="007761B3"/>
    <w:rsid w:val="00776212"/>
    <w:rsid w:val="00776EDE"/>
    <w:rsid w:val="007771CF"/>
    <w:rsid w:val="0077720F"/>
    <w:rsid w:val="00777311"/>
    <w:rsid w:val="0077762D"/>
    <w:rsid w:val="007776C8"/>
    <w:rsid w:val="007805F4"/>
    <w:rsid w:val="0078090E"/>
    <w:rsid w:val="0078136C"/>
    <w:rsid w:val="0078174E"/>
    <w:rsid w:val="00781A61"/>
    <w:rsid w:val="007821AE"/>
    <w:rsid w:val="0078290C"/>
    <w:rsid w:val="007829E5"/>
    <w:rsid w:val="00783FCC"/>
    <w:rsid w:val="00785126"/>
    <w:rsid w:val="007851A2"/>
    <w:rsid w:val="0078572D"/>
    <w:rsid w:val="0078607B"/>
    <w:rsid w:val="00786320"/>
    <w:rsid w:val="00787AD3"/>
    <w:rsid w:val="00790C5C"/>
    <w:rsid w:val="00790EDE"/>
    <w:rsid w:val="0079188E"/>
    <w:rsid w:val="00791E36"/>
    <w:rsid w:val="00792938"/>
    <w:rsid w:val="00792C37"/>
    <w:rsid w:val="007939BF"/>
    <w:rsid w:val="00794AAC"/>
    <w:rsid w:val="00795082"/>
    <w:rsid w:val="00795532"/>
    <w:rsid w:val="00795FCE"/>
    <w:rsid w:val="00796428"/>
    <w:rsid w:val="00796782"/>
    <w:rsid w:val="0079681C"/>
    <w:rsid w:val="00796EA6"/>
    <w:rsid w:val="00797A8E"/>
    <w:rsid w:val="00797B72"/>
    <w:rsid w:val="007A05E4"/>
    <w:rsid w:val="007A095D"/>
    <w:rsid w:val="007A0BFB"/>
    <w:rsid w:val="007A190B"/>
    <w:rsid w:val="007A26C4"/>
    <w:rsid w:val="007A2850"/>
    <w:rsid w:val="007A2A43"/>
    <w:rsid w:val="007A2A63"/>
    <w:rsid w:val="007A306A"/>
    <w:rsid w:val="007A333E"/>
    <w:rsid w:val="007A3D7F"/>
    <w:rsid w:val="007A54F2"/>
    <w:rsid w:val="007A5657"/>
    <w:rsid w:val="007A5EF9"/>
    <w:rsid w:val="007A7669"/>
    <w:rsid w:val="007B0170"/>
    <w:rsid w:val="007B04C6"/>
    <w:rsid w:val="007B065F"/>
    <w:rsid w:val="007B1AA4"/>
    <w:rsid w:val="007B1E3A"/>
    <w:rsid w:val="007B2B5E"/>
    <w:rsid w:val="007B2CAC"/>
    <w:rsid w:val="007B38C8"/>
    <w:rsid w:val="007B4293"/>
    <w:rsid w:val="007B64B3"/>
    <w:rsid w:val="007B653E"/>
    <w:rsid w:val="007B661C"/>
    <w:rsid w:val="007B6F6F"/>
    <w:rsid w:val="007B7185"/>
    <w:rsid w:val="007B74D4"/>
    <w:rsid w:val="007C1E12"/>
    <w:rsid w:val="007C2049"/>
    <w:rsid w:val="007C29D0"/>
    <w:rsid w:val="007C2C66"/>
    <w:rsid w:val="007C2CA1"/>
    <w:rsid w:val="007C3030"/>
    <w:rsid w:val="007C35E0"/>
    <w:rsid w:val="007C3835"/>
    <w:rsid w:val="007C38A7"/>
    <w:rsid w:val="007C38E5"/>
    <w:rsid w:val="007C3941"/>
    <w:rsid w:val="007C405E"/>
    <w:rsid w:val="007C41B5"/>
    <w:rsid w:val="007C4720"/>
    <w:rsid w:val="007C4D6B"/>
    <w:rsid w:val="007C4F25"/>
    <w:rsid w:val="007C5076"/>
    <w:rsid w:val="007C554C"/>
    <w:rsid w:val="007C562E"/>
    <w:rsid w:val="007C5833"/>
    <w:rsid w:val="007C61AE"/>
    <w:rsid w:val="007C6A9A"/>
    <w:rsid w:val="007C6DD7"/>
    <w:rsid w:val="007C709E"/>
    <w:rsid w:val="007C777E"/>
    <w:rsid w:val="007D03B9"/>
    <w:rsid w:val="007D0E14"/>
    <w:rsid w:val="007D1144"/>
    <w:rsid w:val="007D1FCF"/>
    <w:rsid w:val="007D2101"/>
    <w:rsid w:val="007D2369"/>
    <w:rsid w:val="007D2C0B"/>
    <w:rsid w:val="007D2EF4"/>
    <w:rsid w:val="007D2FC8"/>
    <w:rsid w:val="007D326E"/>
    <w:rsid w:val="007D3614"/>
    <w:rsid w:val="007D3D41"/>
    <w:rsid w:val="007D4117"/>
    <w:rsid w:val="007D4681"/>
    <w:rsid w:val="007D4B1B"/>
    <w:rsid w:val="007D4FB0"/>
    <w:rsid w:val="007D567C"/>
    <w:rsid w:val="007D58ED"/>
    <w:rsid w:val="007D5EC3"/>
    <w:rsid w:val="007D64BC"/>
    <w:rsid w:val="007D6FB4"/>
    <w:rsid w:val="007D7875"/>
    <w:rsid w:val="007E067D"/>
    <w:rsid w:val="007E0873"/>
    <w:rsid w:val="007E0A54"/>
    <w:rsid w:val="007E1AB3"/>
    <w:rsid w:val="007E1B95"/>
    <w:rsid w:val="007E2307"/>
    <w:rsid w:val="007E3859"/>
    <w:rsid w:val="007E4514"/>
    <w:rsid w:val="007E56B1"/>
    <w:rsid w:val="007E5ABF"/>
    <w:rsid w:val="007E5D4C"/>
    <w:rsid w:val="007E66A2"/>
    <w:rsid w:val="007E71D1"/>
    <w:rsid w:val="007E791C"/>
    <w:rsid w:val="007E7986"/>
    <w:rsid w:val="007E7CA7"/>
    <w:rsid w:val="007E7D5C"/>
    <w:rsid w:val="007F015B"/>
    <w:rsid w:val="007F06E3"/>
    <w:rsid w:val="007F0AF2"/>
    <w:rsid w:val="007F1460"/>
    <w:rsid w:val="007F1ED6"/>
    <w:rsid w:val="007F224D"/>
    <w:rsid w:val="007F252A"/>
    <w:rsid w:val="007F2544"/>
    <w:rsid w:val="007F2883"/>
    <w:rsid w:val="007F2CE6"/>
    <w:rsid w:val="007F3510"/>
    <w:rsid w:val="007F3DA4"/>
    <w:rsid w:val="007F3FBF"/>
    <w:rsid w:val="007F4458"/>
    <w:rsid w:val="007F4DBE"/>
    <w:rsid w:val="007F4E4F"/>
    <w:rsid w:val="007F4FE1"/>
    <w:rsid w:val="007F526B"/>
    <w:rsid w:val="007F5711"/>
    <w:rsid w:val="007F6DD5"/>
    <w:rsid w:val="007F72BE"/>
    <w:rsid w:val="007F7D54"/>
    <w:rsid w:val="008001BD"/>
    <w:rsid w:val="00800207"/>
    <w:rsid w:val="008010A4"/>
    <w:rsid w:val="00801436"/>
    <w:rsid w:val="0080158C"/>
    <w:rsid w:val="00801C3A"/>
    <w:rsid w:val="00801D1B"/>
    <w:rsid w:val="00802ADA"/>
    <w:rsid w:val="00802CFC"/>
    <w:rsid w:val="00803780"/>
    <w:rsid w:val="00803C82"/>
    <w:rsid w:val="00803CAE"/>
    <w:rsid w:val="00804F34"/>
    <w:rsid w:val="0080641C"/>
    <w:rsid w:val="0080689A"/>
    <w:rsid w:val="00806E39"/>
    <w:rsid w:val="00806EB6"/>
    <w:rsid w:val="008071BF"/>
    <w:rsid w:val="008075C7"/>
    <w:rsid w:val="00807741"/>
    <w:rsid w:val="00807C41"/>
    <w:rsid w:val="0081052A"/>
    <w:rsid w:val="0081122C"/>
    <w:rsid w:val="00811AAB"/>
    <w:rsid w:val="008124FA"/>
    <w:rsid w:val="00812DEE"/>
    <w:rsid w:val="00812EA2"/>
    <w:rsid w:val="0081355F"/>
    <w:rsid w:val="0081382A"/>
    <w:rsid w:val="00813A14"/>
    <w:rsid w:val="00813CFD"/>
    <w:rsid w:val="00813EF1"/>
    <w:rsid w:val="0081451E"/>
    <w:rsid w:val="00814BA4"/>
    <w:rsid w:val="00814D03"/>
    <w:rsid w:val="00814D22"/>
    <w:rsid w:val="008151BC"/>
    <w:rsid w:val="00815843"/>
    <w:rsid w:val="0081613F"/>
    <w:rsid w:val="0081677B"/>
    <w:rsid w:val="0081792C"/>
    <w:rsid w:val="00817C0E"/>
    <w:rsid w:val="00820AA9"/>
    <w:rsid w:val="00821C46"/>
    <w:rsid w:val="008222AD"/>
    <w:rsid w:val="00822B5E"/>
    <w:rsid w:val="008240A9"/>
    <w:rsid w:val="0082458F"/>
    <w:rsid w:val="0082498B"/>
    <w:rsid w:val="008254E6"/>
    <w:rsid w:val="00825A65"/>
    <w:rsid w:val="0082654B"/>
    <w:rsid w:val="00827164"/>
    <w:rsid w:val="008271D3"/>
    <w:rsid w:val="00827210"/>
    <w:rsid w:val="00827A8E"/>
    <w:rsid w:val="00830245"/>
    <w:rsid w:val="008304B5"/>
    <w:rsid w:val="008306D2"/>
    <w:rsid w:val="0083306A"/>
    <w:rsid w:val="00833CFB"/>
    <w:rsid w:val="00833E4C"/>
    <w:rsid w:val="00833FB0"/>
    <w:rsid w:val="0083452D"/>
    <w:rsid w:val="0083577A"/>
    <w:rsid w:val="00835901"/>
    <w:rsid w:val="00835C7F"/>
    <w:rsid w:val="008361D2"/>
    <w:rsid w:val="00836210"/>
    <w:rsid w:val="008374E3"/>
    <w:rsid w:val="00837918"/>
    <w:rsid w:val="00837FF3"/>
    <w:rsid w:val="00841026"/>
    <w:rsid w:val="008421B8"/>
    <w:rsid w:val="00842CA8"/>
    <w:rsid w:val="008430F0"/>
    <w:rsid w:val="00844054"/>
    <w:rsid w:val="008441A0"/>
    <w:rsid w:val="00845050"/>
    <w:rsid w:val="00845340"/>
    <w:rsid w:val="00845485"/>
    <w:rsid w:val="00846001"/>
    <w:rsid w:val="0084603F"/>
    <w:rsid w:val="0084611A"/>
    <w:rsid w:val="00846124"/>
    <w:rsid w:val="0084618F"/>
    <w:rsid w:val="00846A0C"/>
    <w:rsid w:val="00847788"/>
    <w:rsid w:val="00847A59"/>
    <w:rsid w:val="00847B24"/>
    <w:rsid w:val="00847D67"/>
    <w:rsid w:val="008504C7"/>
    <w:rsid w:val="00851191"/>
    <w:rsid w:val="008513AA"/>
    <w:rsid w:val="00851F0B"/>
    <w:rsid w:val="00852160"/>
    <w:rsid w:val="0085225C"/>
    <w:rsid w:val="00852733"/>
    <w:rsid w:val="008527C6"/>
    <w:rsid w:val="00852AC1"/>
    <w:rsid w:val="00852BA1"/>
    <w:rsid w:val="0085334E"/>
    <w:rsid w:val="00853502"/>
    <w:rsid w:val="00853FB9"/>
    <w:rsid w:val="008541E9"/>
    <w:rsid w:val="008545C7"/>
    <w:rsid w:val="00854CE7"/>
    <w:rsid w:val="00854CFA"/>
    <w:rsid w:val="00855954"/>
    <w:rsid w:val="00855F7E"/>
    <w:rsid w:val="00856A16"/>
    <w:rsid w:val="00856EAD"/>
    <w:rsid w:val="00856FFB"/>
    <w:rsid w:val="00857249"/>
    <w:rsid w:val="008576C7"/>
    <w:rsid w:val="00857D1C"/>
    <w:rsid w:val="00860A65"/>
    <w:rsid w:val="008626AA"/>
    <w:rsid w:val="00862898"/>
    <w:rsid w:val="00862A43"/>
    <w:rsid w:val="008646D4"/>
    <w:rsid w:val="00864A3E"/>
    <w:rsid w:val="0086630D"/>
    <w:rsid w:val="0086689B"/>
    <w:rsid w:val="0086692F"/>
    <w:rsid w:val="00866AE2"/>
    <w:rsid w:val="00866BD3"/>
    <w:rsid w:val="00867B40"/>
    <w:rsid w:val="008707BD"/>
    <w:rsid w:val="008717BB"/>
    <w:rsid w:val="0087213D"/>
    <w:rsid w:val="008721CE"/>
    <w:rsid w:val="008725D4"/>
    <w:rsid w:val="008732BE"/>
    <w:rsid w:val="0087373D"/>
    <w:rsid w:val="00873B74"/>
    <w:rsid w:val="00874310"/>
    <w:rsid w:val="00874345"/>
    <w:rsid w:val="0087492C"/>
    <w:rsid w:val="00874EB8"/>
    <w:rsid w:val="0087582E"/>
    <w:rsid w:val="008758CE"/>
    <w:rsid w:val="00877465"/>
    <w:rsid w:val="00880EEA"/>
    <w:rsid w:val="00881356"/>
    <w:rsid w:val="008817A9"/>
    <w:rsid w:val="008819B7"/>
    <w:rsid w:val="008821FA"/>
    <w:rsid w:val="00882CF7"/>
    <w:rsid w:val="00882D3C"/>
    <w:rsid w:val="00882D4E"/>
    <w:rsid w:val="00882FBB"/>
    <w:rsid w:val="00883303"/>
    <w:rsid w:val="00883D26"/>
    <w:rsid w:val="008842E9"/>
    <w:rsid w:val="008852F4"/>
    <w:rsid w:val="00886BE8"/>
    <w:rsid w:val="008874A1"/>
    <w:rsid w:val="0089020C"/>
    <w:rsid w:val="00890953"/>
    <w:rsid w:val="00890B66"/>
    <w:rsid w:val="00890F2B"/>
    <w:rsid w:val="0089122C"/>
    <w:rsid w:val="008916D0"/>
    <w:rsid w:val="00892051"/>
    <w:rsid w:val="00892924"/>
    <w:rsid w:val="00894056"/>
    <w:rsid w:val="0089498A"/>
    <w:rsid w:val="00894AC8"/>
    <w:rsid w:val="00894D3C"/>
    <w:rsid w:val="00895E33"/>
    <w:rsid w:val="00896CAB"/>
    <w:rsid w:val="00896F05"/>
    <w:rsid w:val="0089758E"/>
    <w:rsid w:val="00897A17"/>
    <w:rsid w:val="008A1050"/>
    <w:rsid w:val="008A16AB"/>
    <w:rsid w:val="008A1BA9"/>
    <w:rsid w:val="008A1FD4"/>
    <w:rsid w:val="008A29C4"/>
    <w:rsid w:val="008A2A96"/>
    <w:rsid w:val="008A2E45"/>
    <w:rsid w:val="008A36D9"/>
    <w:rsid w:val="008A3B99"/>
    <w:rsid w:val="008A3BEF"/>
    <w:rsid w:val="008A51AA"/>
    <w:rsid w:val="008A54F2"/>
    <w:rsid w:val="008A5EA3"/>
    <w:rsid w:val="008A62CA"/>
    <w:rsid w:val="008A6A8F"/>
    <w:rsid w:val="008A6C61"/>
    <w:rsid w:val="008A753A"/>
    <w:rsid w:val="008A761F"/>
    <w:rsid w:val="008A797E"/>
    <w:rsid w:val="008A7A48"/>
    <w:rsid w:val="008B0675"/>
    <w:rsid w:val="008B0CE4"/>
    <w:rsid w:val="008B1805"/>
    <w:rsid w:val="008B1A05"/>
    <w:rsid w:val="008B1FE9"/>
    <w:rsid w:val="008B20A4"/>
    <w:rsid w:val="008B2B10"/>
    <w:rsid w:val="008B300B"/>
    <w:rsid w:val="008B35AF"/>
    <w:rsid w:val="008B3DDE"/>
    <w:rsid w:val="008B431D"/>
    <w:rsid w:val="008B515E"/>
    <w:rsid w:val="008B5308"/>
    <w:rsid w:val="008B5A06"/>
    <w:rsid w:val="008B5B20"/>
    <w:rsid w:val="008B5E5B"/>
    <w:rsid w:val="008B5F93"/>
    <w:rsid w:val="008B626A"/>
    <w:rsid w:val="008B6425"/>
    <w:rsid w:val="008B6D29"/>
    <w:rsid w:val="008B7063"/>
    <w:rsid w:val="008B723A"/>
    <w:rsid w:val="008B7D5F"/>
    <w:rsid w:val="008B7D9C"/>
    <w:rsid w:val="008C2567"/>
    <w:rsid w:val="008C2E24"/>
    <w:rsid w:val="008C2E9E"/>
    <w:rsid w:val="008C32F9"/>
    <w:rsid w:val="008C3673"/>
    <w:rsid w:val="008C45F3"/>
    <w:rsid w:val="008C4D67"/>
    <w:rsid w:val="008C5204"/>
    <w:rsid w:val="008C54EC"/>
    <w:rsid w:val="008C56EE"/>
    <w:rsid w:val="008C56F8"/>
    <w:rsid w:val="008C59AA"/>
    <w:rsid w:val="008C5FA9"/>
    <w:rsid w:val="008C6542"/>
    <w:rsid w:val="008C68D1"/>
    <w:rsid w:val="008C6E59"/>
    <w:rsid w:val="008C6F3F"/>
    <w:rsid w:val="008C7682"/>
    <w:rsid w:val="008C77A3"/>
    <w:rsid w:val="008C7B57"/>
    <w:rsid w:val="008C7D13"/>
    <w:rsid w:val="008D0043"/>
    <w:rsid w:val="008D0E51"/>
    <w:rsid w:val="008D21A5"/>
    <w:rsid w:val="008D32B4"/>
    <w:rsid w:val="008D354B"/>
    <w:rsid w:val="008D3765"/>
    <w:rsid w:val="008D40D9"/>
    <w:rsid w:val="008D46B5"/>
    <w:rsid w:val="008D4B19"/>
    <w:rsid w:val="008D4C44"/>
    <w:rsid w:val="008D58DF"/>
    <w:rsid w:val="008D5F2C"/>
    <w:rsid w:val="008D6485"/>
    <w:rsid w:val="008D72B1"/>
    <w:rsid w:val="008D7A67"/>
    <w:rsid w:val="008E03AB"/>
    <w:rsid w:val="008E0F7C"/>
    <w:rsid w:val="008E23AD"/>
    <w:rsid w:val="008E289B"/>
    <w:rsid w:val="008E2E12"/>
    <w:rsid w:val="008E31C3"/>
    <w:rsid w:val="008E4EF2"/>
    <w:rsid w:val="008E639C"/>
    <w:rsid w:val="008E6DB7"/>
    <w:rsid w:val="008E7A63"/>
    <w:rsid w:val="008E7C2C"/>
    <w:rsid w:val="008F03DC"/>
    <w:rsid w:val="008F0BCA"/>
    <w:rsid w:val="008F27C2"/>
    <w:rsid w:val="008F2A4D"/>
    <w:rsid w:val="008F2F4C"/>
    <w:rsid w:val="008F3410"/>
    <w:rsid w:val="008F34D2"/>
    <w:rsid w:val="008F3570"/>
    <w:rsid w:val="008F4020"/>
    <w:rsid w:val="008F40A7"/>
    <w:rsid w:val="008F4224"/>
    <w:rsid w:val="008F454C"/>
    <w:rsid w:val="008F4614"/>
    <w:rsid w:val="008F46A0"/>
    <w:rsid w:val="008F690C"/>
    <w:rsid w:val="008F6E35"/>
    <w:rsid w:val="008F71AB"/>
    <w:rsid w:val="008F74D3"/>
    <w:rsid w:val="008F75CC"/>
    <w:rsid w:val="008F78D4"/>
    <w:rsid w:val="008F7D44"/>
    <w:rsid w:val="0090028A"/>
    <w:rsid w:val="00900331"/>
    <w:rsid w:val="00900D87"/>
    <w:rsid w:val="00901381"/>
    <w:rsid w:val="00901706"/>
    <w:rsid w:val="00901996"/>
    <w:rsid w:val="00901B51"/>
    <w:rsid w:val="009024A9"/>
    <w:rsid w:val="00902639"/>
    <w:rsid w:val="009027E5"/>
    <w:rsid w:val="009034CC"/>
    <w:rsid w:val="009041C1"/>
    <w:rsid w:val="009045B0"/>
    <w:rsid w:val="00904771"/>
    <w:rsid w:val="00904F22"/>
    <w:rsid w:val="00906437"/>
    <w:rsid w:val="00906AC5"/>
    <w:rsid w:val="00906C0C"/>
    <w:rsid w:val="00907006"/>
    <w:rsid w:val="009072D1"/>
    <w:rsid w:val="00907C57"/>
    <w:rsid w:val="0091089C"/>
    <w:rsid w:val="00910AEE"/>
    <w:rsid w:val="00910CA7"/>
    <w:rsid w:val="00910DBE"/>
    <w:rsid w:val="00910ED1"/>
    <w:rsid w:val="009110AF"/>
    <w:rsid w:val="00911232"/>
    <w:rsid w:val="0091136B"/>
    <w:rsid w:val="00911AF3"/>
    <w:rsid w:val="009123F2"/>
    <w:rsid w:val="0091257B"/>
    <w:rsid w:val="00912BC3"/>
    <w:rsid w:val="009141CA"/>
    <w:rsid w:val="0091421C"/>
    <w:rsid w:val="009144C1"/>
    <w:rsid w:val="00914789"/>
    <w:rsid w:val="009149CC"/>
    <w:rsid w:val="00914EC4"/>
    <w:rsid w:val="00914F6D"/>
    <w:rsid w:val="00914FCD"/>
    <w:rsid w:val="009151BD"/>
    <w:rsid w:val="00915BFF"/>
    <w:rsid w:val="00915E24"/>
    <w:rsid w:val="00916972"/>
    <w:rsid w:val="00916E75"/>
    <w:rsid w:val="009172C6"/>
    <w:rsid w:val="00917733"/>
    <w:rsid w:val="00917F3C"/>
    <w:rsid w:val="0092069C"/>
    <w:rsid w:val="00920CA1"/>
    <w:rsid w:val="00921511"/>
    <w:rsid w:val="00921578"/>
    <w:rsid w:val="0092183B"/>
    <w:rsid w:val="009218B8"/>
    <w:rsid w:val="00922099"/>
    <w:rsid w:val="00923266"/>
    <w:rsid w:val="00923282"/>
    <w:rsid w:val="00923360"/>
    <w:rsid w:val="009233C3"/>
    <w:rsid w:val="0092429D"/>
    <w:rsid w:val="009249E2"/>
    <w:rsid w:val="009256F9"/>
    <w:rsid w:val="00925A7F"/>
    <w:rsid w:val="00925B0A"/>
    <w:rsid w:val="00925BDF"/>
    <w:rsid w:val="00926128"/>
    <w:rsid w:val="0092715B"/>
    <w:rsid w:val="009276E8"/>
    <w:rsid w:val="009278E9"/>
    <w:rsid w:val="009302C8"/>
    <w:rsid w:val="0093037A"/>
    <w:rsid w:val="009306C2"/>
    <w:rsid w:val="0093110F"/>
    <w:rsid w:val="009312D7"/>
    <w:rsid w:val="0093142F"/>
    <w:rsid w:val="0093188D"/>
    <w:rsid w:val="00931A1A"/>
    <w:rsid w:val="00931DFD"/>
    <w:rsid w:val="00931E8B"/>
    <w:rsid w:val="00932190"/>
    <w:rsid w:val="00932F0E"/>
    <w:rsid w:val="0093321D"/>
    <w:rsid w:val="009337B1"/>
    <w:rsid w:val="0093414C"/>
    <w:rsid w:val="0093429D"/>
    <w:rsid w:val="00934983"/>
    <w:rsid w:val="00935322"/>
    <w:rsid w:val="0093559E"/>
    <w:rsid w:val="00935938"/>
    <w:rsid w:val="00935F7B"/>
    <w:rsid w:val="009360C4"/>
    <w:rsid w:val="00936843"/>
    <w:rsid w:val="00936C20"/>
    <w:rsid w:val="009373EC"/>
    <w:rsid w:val="00937553"/>
    <w:rsid w:val="00940F9B"/>
    <w:rsid w:val="00941291"/>
    <w:rsid w:val="00941358"/>
    <w:rsid w:val="00941687"/>
    <w:rsid w:val="00941DC8"/>
    <w:rsid w:val="0094221C"/>
    <w:rsid w:val="009429C6"/>
    <w:rsid w:val="00943236"/>
    <w:rsid w:val="009439AE"/>
    <w:rsid w:val="00945044"/>
    <w:rsid w:val="00945803"/>
    <w:rsid w:val="00946449"/>
    <w:rsid w:val="00946D4C"/>
    <w:rsid w:val="00946E27"/>
    <w:rsid w:val="0094709A"/>
    <w:rsid w:val="009474CB"/>
    <w:rsid w:val="009475D4"/>
    <w:rsid w:val="00947667"/>
    <w:rsid w:val="00947E48"/>
    <w:rsid w:val="0095072B"/>
    <w:rsid w:val="00950855"/>
    <w:rsid w:val="00950DDD"/>
    <w:rsid w:val="00950E60"/>
    <w:rsid w:val="00951466"/>
    <w:rsid w:val="009516BF"/>
    <w:rsid w:val="009519CE"/>
    <w:rsid w:val="00951B85"/>
    <w:rsid w:val="00951F1B"/>
    <w:rsid w:val="0095285E"/>
    <w:rsid w:val="0095293B"/>
    <w:rsid w:val="00952974"/>
    <w:rsid w:val="00952AD5"/>
    <w:rsid w:val="00952CC3"/>
    <w:rsid w:val="009532B4"/>
    <w:rsid w:val="0095401E"/>
    <w:rsid w:val="009543BA"/>
    <w:rsid w:val="00954A20"/>
    <w:rsid w:val="00954BD1"/>
    <w:rsid w:val="00954D7D"/>
    <w:rsid w:val="0095537F"/>
    <w:rsid w:val="00955A36"/>
    <w:rsid w:val="00956166"/>
    <w:rsid w:val="00956DB2"/>
    <w:rsid w:val="0095758A"/>
    <w:rsid w:val="0095761B"/>
    <w:rsid w:val="00957784"/>
    <w:rsid w:val="00960323"/>
    <w:rsid w:val="009607E8"/>
    <w:rsid w:val="00960970"/>
    <w:rsid w:val="00960E0B"/>
    <w:rsid w:val="009610AD"/>
    <w:rsid w:val="0096135E"/>
    <w:rsid w:val="00961DC7"/>
    <w:rsid w:val="009623CD"/>
    <w:rsid w:val="00963A10"/>
    <w:rsid w:val="00963F24"/>
    <w:rsid w:val="00963F5B"/>
    <w:rsid w:val="0096454F"/>
    <w:rsid w:val="00965C7A"/>
    <w:rsid w:val="00965F55"/>
    <w:rsid w:val="009665AE"/>
    <w:rsid w:val="0096675F"/>
    <w:rsid w:val="00966B7D"/>
    <w:rsid w:val="00966EAD"/>
    <w:rsid w:val="00966FBD"/>
    <w:rsid w:val="00967466"/>
    <w:rsid w:val="009677A6"/>
    <w:rsid w:val="00967C03"/>
    <w:rsid w:val="00967F99"/>
    <w:rsid w:val="00967FC4"/>
    <w:rsid w:val="00967FCC"/>
    <w:rsid w:val="00970146"/>
    <w:rsid w:val="009701C5"/>
    <w:rsid w:val="009701D2"/>
    <w:rsid w:val="00970223"/>
    <w:rsid w:val="00970479"/>
    <w:rsid w:val="00970A26"/>
    <w:rsid w:val="00970D1C"/>
    <w:rsid w:val="009710E1"/>
    <w:rsid w:val="009711A6"/>
    <w:rsid w:val="0097148A"/>
    <w:rsid w:val="009717A5"/>
    <w:rsid w:val="0097227F"/>
    <w:rsid w:val="009725EA"/>
    <w:rsid w:val="00974381"/>
    <w:rsid w:val="0097464D"/>
    <w:rsid w:val="00974694"/>
    <w:rsid w:val="00974CB5"/>
    <w:rsid w:val="00975048"/>
    <w:rsid w:val="00975C4B"/>
    <w:rsid w:val="009760C9"/>
    <w:rsid w:val="00976135"/>
    <w:rsid w:val="009762F3"/>
    <w:rsid w:val="00977C36"/>
    <w:rsid w:val="009806CF"/>
    <w:rsid w:val="00980C58"/>
    <w:rsid w:val="0098302A"/>
    <w:rsid w:val="00983753"/>
    <w:rsid w:val="00983836"/>
    <w:rsid w:val="00984277"/>
    <w:rsid w:val="00984A97"/>
    <w:rsid w:val="00984B2F"/>
    <w:rsid w:val="00985177"/>
    <w:rsid w:val="00985672"/>
    <w:rsid w:val="009864CA"/>
    <w:rsid w:val="00986927"/>
    <w:rsid w:val="00986C39"/>
    <w:rsid w:val="00986C51"/>
    <w:rsid w:val="00987535"/>
    <w:rsid w:val="00987678"/>
    <w:rsid w:val="00987A39"/>
    <w:rsid w:val="00987CCB"/>
    <w:rsid w:val="00990D21"/>
    <w:rsid w:val="00990D7D"/>
    <w:rsid w:val="009911F1"/>
    <w:rsid w:val="00991773"/>
    <w:rsid w:val="00992D12"/>
    <w:rsid w:val="00992F82"/>
    <w:rsid w:val="00993E10"/>
    <w:rsid w:val="009946FA"/>
    <w:rsid w:val="0099569E"/>
    <w:rsid w:val="00995767"/>
    <w:rsid w:val="00995CC5"/>
    <w:rsid w:val="0099665A"/>
    <w:rsid w:val="00996D49"/>
    <w:rsid w:val="0099710F"/>
    <w:rsid w:val="009974CB"/>
    <w:rsid w:val="00997D86"/>
    <w:rsid w:val="009A0F7D"/>
    <w:rsid w:val="009A138B"/>
    <w:rsid w:val="009A1567"/>
    <w:rsid w:val="009A195B"/>
    <w:rsid w:val="009A249C"/>
    <w:rsid w:val="009A2EDE"/>
    <w:rsid w:val="009A33F5"/>
    <w:rsid w:val="009A3B01"/>
    <w:rsid w:val="009A3B69"/>
    <w:rsid w:val="009A4147"/>
    <w:rsid w:val="009A42D4"/>
    <w:rsid w:val="009A443B"/>
    <w:rsid w:val="009A44A8"/>
    <w:rsid w:val="009A4CF3"/>
    <w:rsid w:val="009A4DC0"/>
    <w:rsid w:val="009A5A1F"/>
    <w:rsid w:val="009A5A62"/>
    <w:rsid w:val="009A5B59"/>
    <w:rsid w:val="009A6D6F"/>
    <w:rsid w:val="009A7116"/>
    <w:rsid w:val="009A7C9C"/>
    <w:rsid w:val="009B0486"/>
    <w:rsid w:val="009B05AD"/>
    <w:rsid w:val="009B0688"/>
    <w:rsid w:val="009B16E0"/>
    <w:rsid w:val="009B1BE1"/>
    <w:rsid w:val="009B1C17"/>
    <w:rsid w:val="009B1FA1"/>
    <w:rsid w:val="009B28F7"/>
    <w:rsid w:val="009B2EE4"/>
    <w:rsid w:val="009B3DEC"/>
    <w:rsid w:val="009B3FF7"/>
    <w:rsid w:val="009B4C74"/>
    <w:rsid w:val="009B4D60"/>
    <w:rsid w:val="009B5450"/>
    <w:rsid w:val="009B7005"/>
    <w:rsid w:val="009B77CA"/>
    <w:rsid w:val="009C023F"/>
    <w:rsid w:val="009C0349"/>
    <w:rsid w:val="009C076F"/>
    <w:rsid w:val="009C07A9"/>
    <w:rsid w:val="009C0CA2"/>
    <w:rsid w:val="009C16BC"/>
    <w:rsid w:val="009C1A30"/>
    <w:rsid w:val="009C2351"/>
    <w:rsid w:val="009C2769"/>
    <w:rsid w:val="009C2791"/>
    <w:rsid w:val="009C29CE"/>
    <w:rsid w:val="009C3791"/>
    <w:rsid w:val="009C3A7E"/>
    <w:rsid w:val="009C3E51"/>
    <w:rsid w:val="009C4506"/>
    <w:rsid w:val="009C4838"/>
    <w:rsid w:val="009C50A5"/>
    <w:rsid w:val="009C55F5"/>
    <w:rsid w:val="009C5668"/>
    <w:rsid w:val="009C5854"/>
    <w:rsid w:val="009C5E05"/>
    <w:rsid w:val="009C62EA"/>
    <w:rsid w:val="009C6378"/>
    <w:rsid w:val="009C72F0"/>
    <w:rsid w:val="009C7478"/>
    <w:rsid w:val="009C7CF4"/>
    <w:rsid w:val="009C7DB4"/>
    <w:rsid w:val="009C7F0B"/>
    <w:rsid w:val="009C7FEB"/>
    <w:rsid w:val="009D020A"/>
    <w:rsid w:val="009D05DD"/>
    <w:rsid w:val="009D09E2"/>
    <w:rsid w:val="009D0CF8"/>
    <w:rsid w:val="009D1491"/>
    <w:rsid w:val="009D238B"/>
    <w:rsid w:val="009D2BE2"/>
    <w:rsid w:val="009D2C5F"/>
    <w:rsid w:val="009D4065"/>
    <w:rsid w:val="009D41A7"/>
    <w:rsid w:val="009D4CEE"/>
    <w:rsid w:val="009D4CF9"/>
    <w:rsid w:val="009D4E95"/>
    <w:rsid w:val="009D4ED4"/>
    <w:rsid w:val="009D537D"/>
    <w:rsid w:val="009D5544"/>
    <w:rsid w:val="009D5750"/>
    <w:rsid w:val="009D5B46"/>
    <w:rsid w:val="009D6010"/>
    <w:rsid w:val="009D6121"/>
    <w:rsid w:val="009D63FE"/>
    <w:rsid w:val="009D6783"/>
    <w:rsid w:val="009D6BC2"/>
    <w:rsid w:val="009D7222"/>
    <w:rsid w:val="009D75A3"/>
    <w:rsid w:val="009D7619"/>
    <w:rsid w:val="009D7777"/>
    <w:rsid w:val="009D7851"/>
    <w:rsid w:val="009D79C1"/>
    <w:rsid w:val="009D7A21"/>
    <w:rsid w:val="009E06D3"/>
    <w:rsid w:val="009E0702"/>
    <w:rsid w:val="009E0B07"/>
    <w:rsid w:val="009E19F5"/>
    <w:rsid w:val="009E1B90"/>
    <w:rsid w:val="009E1DEC"/>
    <w:rsid w:val="009E1FC7"/>
    <w:rsid w:val="009E22EA"/>
    <w:rsid w:val="009E2418"/>
    <w:rsid w:val="009E2FED"/>
    <w:rsid w:val="009E3BA5"/>
    <w:rsid w:val="009E3D6E"/>
    <w:rsid w:val="009E4023"/>
    <w:rsid w:val="009E40F3"/>
    <w:rsid w:val="009E457F"/>
    <w:rsid w:val="009E52CF"/>
    <w:rsid w:val="009E5632"/>
    <w:rsid w:val="009E600F"/>
    <w:rsid w:val="009E629A"/>
    <w:rsid w:val="009E68D0"/>
    <w:rsid w:val="009E6A47"/>
    <w:rsid w:val="009E701C"/>
    <w:rsid w:val="009E7C8A"/>
    <w:rsid w:val="009F06F5"/>
    <w:rsid w:val="009F0860"/>
    <w:rsid w:val="009F1472"/>
    <w:rsid w:val="009F1795"/>
    <w:rsid w:val="009F2139"/>
    <w:rsid w:val="009F24B4"/>
    <w:rsid w:val="009F24BA"/>
    <w:rsid w:val="009F25E9"/>
    <w:rsid w:val="009F2D88"/>
    <w:rsid w:val="009F3009"/>
    <w:rsid w:val="009F3083"/>
    <w:rsid w:val="009F38B4"/>
    <w:rsid w:val="009F38BC"/>
    <w:rsid w:val="009F4DDC"/>
    <w:rsid w:val="009F4EE8"/>
    <w:rsid w:val="009F5065"/>
    <w:rsid w:val="009F53A7"/>
    <w:rsid w:val="009F57CE"/>
    <w:rsid w:val="009F590B"/>
    <w:rsid w:val="009F5F35"/>
    <w:rsid w:val="009F6009"/>
    <w:rsid w:val="009F65EA"/>
    <w:rsid w:val="009F6E4C"/>
    <w:rsid w:val="009F7055"/>
    <w:rsid w:val="009F7BC8"/>
    <w:rsid w:val="009F7F39"/>
    <w:rsid w:val="00A004E0"/>
    <w:rsid w:val="00A00A61"/>
    <w:rsid w:val="00A00CEC"/>
    <w:rsid w:val="00A012CB"/>
    <w:rsid w:val="00A01B64"/>
    <w:rsid w:val="00A01BF1"/>
    <w:rsid w:val="00A01E91"/>
    <w:rsid w:val="00A01ED7"/>
    <w:rsid w:val="00A01FF1"/>
    <w:rsid w:val="00A02455"/>
    <w:rsid w:val="00A02A0B"/>
    <w:rsid w:val="00A039CD"/>
    <w:rsid w:val="00A045A2"/>
    <w:rsid w:val="00A04D12"/>
    <w:rsid w:val="00A06A6B"/>
    <w:rsid w:val="00A06B6E"/>
    <w:rsid w:val="00A06CED"/>
    <w:rsid w:val="00A0731A"/>
    <w:rsid w:val="00A07E7B"/>
    <w:rsid w:val="00A107B5"/>
    <w:rsid w:val="00A10B3A"/>
    <w:rsid w:val="00A13168"/>
    <w:rsid w:val="00A135BC"/>
    <w:rsid w:val="00A152D1"/>
    <w:rsid w:val="00A157CC"/>
    <w:rsid w:val="00A15D0B"/>
    <w:rsid w:val="00A166A8"/>
    <w:rsid w:val="00A17143"/>
    <w:rsid w:val="00A17E34"/>
    <w:rsid w:val="00A20675"/>
    <w:rsid w:val="00A2075F"/>
    <w:rsid w:val="00A20AD4"/>
    <w:rsid w:val="00A20F9D"/>
    <w:rsid w:val="00A217C1"/>
    <w:rsid w:val="00A21A83"/>
    <w:rsid w:val="00A21E18"/>
    <w:rsid w:val="00A225EA"/>
    <w:rsid w:val="00A22B5E"/>
    <w:rsid w:val="00A22C8C"/>
    <w:rsid w:val="00A24219"/>
    <w:rsid w:val="00A24388"/>
    <w:rsid w:val="00A24674"/>
    <w:rsid w:val="00A24E59"/>
    <w:rsid w:val="00A25536"/>
    <w:rsid w:val="00A25656"/>
    <w:rsid w:val="00A264B6"/>
    <w:rsid w:val="00A274EB"/>
    <w:rsid w:val="00A27CA1"/>
    <w:rsid w:val="00A302AA"/>
    <w:rsid w:val="00A307BA"/>
    <w:rsid w:val="00A3141D"/>
    <w:rsid w:val="00A31F4D"/>
    <w:rsid w:val="00A320D4"/>
    <w:rsid w:val="00A33369"/>
    <w:rsid w:val="00A33543"/>
    <w:rsid w:val="00A33774"/>
    <w:rsid w:val="00A34244"/>
    <w:rsid w:val="00A344BB"/>
    <w:rsid w:val="00A34E58"/>
    <w:rsid w:val="00A354FA"/>
    <w:rsid w:val="00A3627D"/>
    <w:rsid w:val="00A37875"/>
    <w:rsid w:val="00A37D96"/>
    <w:rsid w:val="00A402AF"/>
    <w:rsid w:val="00A40433"/>
    <w:rsid w:val="00A407DF"/>
    <w:rsid w:val="00A40E86"/>
    <w:rsid w:val="00A42A95"/>
    <w:rsid w:val="00A43A81"/>
    <w:rsid w:val="00A441B6"/>
    <w:rsid w:val="00A4470E"/>
    <w:rsid w:val="00A44A23"/>
    <w:rsid w:val="00A44E77"/>
    <w:rsid w:val="00A45038"/>
    <w:rsid w:val="00A451E2"/>
    <w:rsid w:val="00A453FC"/>
    <w:rsid w:val="00A454EC"/>
    <w:rsid w:val="00A458D4"/>
    <w:rsid w:val="00A45E36"/>
    <w:rsid w:val="00A46F2F"/>
    <w:rsid w:val="00A470B6"/>
    <w:rsid w:val="00A473C9"/>
    <w:rsid w:val="00A50D37"/>
    <w:rsid w:val="00A51E06"/>
    <w:rsid w:val="00A5262F"/>
    <w:rsid w:val="00A5279C"/>
    <w:rsid w:val="00A52A4F"/>
    <w:rsid w:val="00A52C9B"/>
    <w:rsid w:val="00A52E35"/>
    <w:rsid w:val="00A52FBF"/>
    <w:rsid w:val="00A5330F"/>
    <w:rsid w:val="00A534D4"/>
    <w:rsid w:val="00A53D72"/>
    <w:rsid w:val="00A5457A"/>
    <w:rsid w:val="00A547EB"/>
    <w:rsid w:val="00A54A5F"/>
    <w:rsid w:val="00A54B3B"/>
    <w:rsid w:val="00A54D36"/>
    <w:rsid w:val="00A54E59"/>
    <w:rsid w:val="00A55325"/>
    <w:rsid w:val="00A556A4"/>
    <w:rsid w:val="00A5696F"/>
    <w:rsid w:val="00A576FF"/>
    <w:rsid w:val="00A577BA"/>
    <w:rsid w:val="00A57B42"/>
    <w:rsid w:val="00A6013C"/>
    <w:rsid w:val="00A60213"/>
    <w:rsid w:val="00A60221"/>
    <w:rsid w:val="00A60839"/>
    <w:rsid w:val="00A60ABA"/>
    <w:rsid w:val="00A610E0"/>
    <w:rsid w:val="00A611E1"/>
    <w:rsid w:val="00A6183F"/>
    <w:rsid w:val="00A62915"/>
    <w:rsid w:val="00A62CA0"/>
    <w:rsid w:val="00A6378F"/>
    <w:rsid w:val="00A63875"/>
    <w:rsid w:val="00A63A36"/>
    <w:rsid w:val="00A63A59"/>
    <w:rsid w:val="00A6458D"/>
    <w:rsid w:val="00A647B3"/>
    <w:rsid w:val="00A64F64"/>
    <w:rsid w:val="00A65401"/>
    <w:rsid w:val="00A65CA6"/>
    <w:rsid w:val="00A65D75"/>
    <w:rsid w:val="00A6649B"/>
    <w:rsid w:val="00A668A3"/>
    <w:rsid w:val="00A6698E"/>
    <w:rsid w:val="00A669C2"/>
    <w:rsid w:val="00A6770B"/>
    <w:rsid w:val="00A67882"/>
    <w:rsid w:val="00A67FC5"/>
    <w:rsid w:val="00A71D45"/>
    <w:rsid w:val="00A7279A"/>
    <w:rsid w:val="00A72AF1"/>
    <w:rsid w:val="00A7304A"/>
    <w:rsid w:val="00A730A6"/>
    <w:rsid w:val="00A73365"/>
    <w:rsid w:val="00A73604"/>
    <w:rsid w:val="00A749DF"/>
    <w:rsid w:val="00A74E9E"/>
    <w:rsid w:val="00A753C6"/>
    <w:rsid w:val="00A758B8"/>
    <w:rsid w:val="00A75F70"/>
    <w:rsid w:val="00A76074"/>
    <w:rsid w:val="00A76FB2"/>
    <w:rsid w:val="00A77E8A"/>
    <w:rsid w:val="00A8083B"/>
    <w:rsid w:val="00A80BCA"/>
    <w:rsid w:val="00A80C51"/>
    <w:rsid w:val="00A81490"/>
    <w:rsid w:val="00A81A56"/>
    <w:rsid w:val="00A8268C"/>
    <w:rsid w:val="00A82E34"/>
    <w:rsid w:val="00A83A57"/>
    <w:rsid w:val="00A83FD6"/>
    <w:rsid w:val="00A84F84"/>
    <w:rsid w:val="00A853E1"/>
    <w:rsid w:val="00A8552F"/>
    <w:rsid w:val="00A859DD"/>
    <w:rsid w:val="00A85A0D"/>
    <w:rsid w:val="00A85D92"/>
    <w:rsid w:val="00A85F52"/>
    <w:rsid w:val="00A8616E"/>
    <w:rsid w:val="00A86476"/>
    <w:rsid w:val="00A86548"/>
    <w:rsid w:val="00A86E0A"/>
    <w:rsid w:val="00A871AF"/>
    <w:rsid w:val="00A87328"/>
    <w:rsid w:val="00A878CC"/>
    <w:rsid w:val="00A87D7E"/>
    <w:rsid w:val="00A906E9"/>
    <w:rsid w:val="00A90B0A"/>
    <w:rsid w:val="00A90DC0"/>
    <w:rsid w:val="00A90DE3"/>
    <w:rsid w:val="00A91253"/>
    <w:rsid w:val="00A91303"/>
    <w:rsid w:val="00A91C1E"/>
    <w:rsid w:val="00A91FD6"/>
    <w:rsid w:val="00A92405"/>
    <w:rsid w:val="00A939DE"/>
    <w:rsid w:val="00A940BB"/>
    <w:rsid w:val="00A94A14"/>
    <w:rsid w:val="00A94FD5"/>
    <w:rsid w:val="00A9608C"/>
    <w:rsid w:val="00A964E7"/>
    <w:rsid w:val="00A968E2"/>
    <w:rsid w:val="00A96C77"/>
    <w:rsid w:val="00A9743D"/>
    <w:rsid w:val="00A9762D"/>
    <w:rsid w:val="00A977C2"/>
    <w:rsid w:val="00A97D2B"/>
    <w:rsid w:val="00AA02F2"/>
    <w:rsid w:val="00AA036B"/>
    <w:rsid w:val="00AA076E"/>
    <w:rsid w:val="00AA093D"/>
    <w:rsid w:val="00AA1C77"/>
    <w:rsid w:val="00AA2632"/>
    <w:rsid w:val="00AA2DB1"/>
    <w:rsid w:val="00AA38CE"/>
    <w:rsid w:val="00AA4679"/>
    <w:rsid w:val="00AA48B6"/>
    <w:rsid w:val="00AA50D4"/>
    <w:rsid w:val="00AA588E"/>
    <w:rsid w:val="00AA604F"/>
    <w:rsid w:val="00AA610A"/>
    <w:rsid w:val="00AA6B09"/>
    <w:rsid w:val="00AA71EB"/>
    <w:rsid w:val="00AA760B"/>
    <w:rsid w:val="00AA787B"/>
    <w:rsid w:val="00AA7B85"/>
    <w:rsid w:val="00AA7E36"/>
    <w:rsid w:val="00AB0540"/>
    <w:rsid w:val="00AB0C80"/>
    <w:rsid w:val="00AB13A9"/>
    <w:rsid w:val="00AB1C05"/>
    <w:rsid w:val="00AB2480"/>
    <w:rsid w:val="00AB274C"/>
    <w:rsid w:val="00AB3537"/>
    <w:rsid w:val="00AB3544"/>
    <w:rsid w:val="00AB496B"/>
    <w:rsid w:val="00AB4B34"/>
    <w:rsid w:val="00AB4F82"/>
    <w:rsid w:val="00AB57A8"/>
    <w:rsid w:val="00AB59F6"/>
    <w:rsid w:val="00AB5AB7"/>
    <w:rsid w:val="00AB6035"/>
    <w:rsid w:val="00AB66A6"/>
    <w:rsid w:val="00AB737B"/>
    <w:rsid w:val="00AB7829"/>
    <w:rsid w:val="00AB7F48"/>
    <w:rsid w:val="00AC00B2"/>
    <w:rsid w:val="00AC014C"/>
    <w:rsid w:val="00AC05C2"/>
    <w:rsid w:val="00AC13C9"/>
    <w:rsid w:val="00AC18F7"/>
    <w:rsid w:val="00AC1CF2"/>
    <w:rsid w:val="00AC251C"/>
    <w:rsid w:val="00AC2702"/>
    <w:rsid w:val="00AC33FC"/>
    <w:rsid w:val="00AC3A1F"/>
    <w:rsid w:val="00AC3C2F"/>
    <w:rsid w:val="00AC3DA7"/>
    <w:rsid w:val="00AC3FDA"/>
    <w:rsid w:val="00AC43C9"/>
    <w:rsid w:val="00AC4B4E"/>
    <w:rsid w:val="00AC4FE4"/>
    <w:rsid w:val="00AC5869"/>
    <w:rsid w:val="00AC5981"/>
    <w:rsid w:val="00AC5E04"/>
    <w:rsid w:val="00AC704A"/>
    <w:rsid w:val="00AC72BA"/>
    <w:rsid w:val="00AC743F"/>
    <w:rsid w:val="00AC7B25"/>
    <w:rsid w:val="00AD031E"/>
    <w:rsid w:val="00AD054D"/>
    <w:rsid w:val="00AD0647"/>
    <w:rsid w:val="00AD0FA0"/>
    <w:rsid w:val="00AD1013"/>
    <w:rsid w:val="00AD10A3"/>
    <w:rsid w:val="00AD1DB8"/>
    <w:rsid w:val="00AD3857"/>
    <w:rsid w:val="00AD3D3C"/>
    <w:rsid w:val="00AD47A7"/>
    <w:rsid w:val="00AD53FB"/>
    <w:rsid w:val="00AD556D"/>
    <w:rsid w:val="00AD5CA7"/>
    <w:rsid w:val="00AD6490"/>
    <w:rsid w:val="00AD6660"/>
    <w:rsid w:val="00AD6FF7"/>
    <w:rsid w:val="00AD7EC4"/>
    <w:rsid w:val="00AE0489"/>
    <w:rsid w:val="00AE0A4D"/>
    <w:rsid w:val="00AE1DAA"/>
    <w:rsid w:val="00AE2210"/>
    <w:rsid w:val="00AE2874"/>
    <w:rsid w:val="00AE29ED"/>
    <w:rsid w:val="00AE2C58"/>
    <w:rsid w:val="00AE2DEA"/>
    <w:rsid w:val="00AE3DEC"/>
    <w:rsid w:val="00AE4073"/>
    <w:rsid w:val="00AE43B3"/>
    <w:rsid w:val="00AE4475"/>
    <w:rsid w:val="00AE4C05"/>
    <w:rsid w:val="00AE533C"/>
    <w:rsid w:val="00AE5504"/>
    <w:rsid w:val="00AE5B69"/>
    <w:rsid w:val="00AE5DA0"/>
    <w:rsid w:val="00AE63A4"/>
    <w:rsid w:val="00AE7305"/>
    <w:rsid w:val="00AE7402"/>
    <w:rsid w:val="00AF0BB4"/>
    <w:rsid w:val="00AF0BE1"/>
    <w:rsid w:val="00AF2457"/>
    <w:rsid w:val="00AF29E6"/>
    <w:rsid w:val="00AF2EB7"/>
    <w:rsid w:val="00AF317C"/>
    <w:rsid w:val="00AF38A2"/>
    <w:rsid w:val="00AF3F7D"/>
    <w:rsid w:val="00AF416A"/>
    <w:rsid w:val="00AF439A"/>
    <w:rsid w:val="00AF44C1"/>
    <w:rsid w:val="00AF4781"/>
    <w:rsid w:val="00AF48A6"/>
    <w:rsid w:val="00AF4C32"/>
    <w:rsid w:val="00AF4EB1"/>
    <w:rsid w:val="00AF4FA3"/>
    <w:rsid w:val="00AF50C9"/>
    <w:rsid w:val="00AF534F"/>
    <w:rsid w:val="00AF5467"/>
    <w:rsid w:val="00AF55BF"/>
    <w:rsid w:val="00AF5A6D"/>
    <w:rsid w:val="00AF6113"/>
    <w:rsid w:val="00AF64C6"/>
    <w:rsid w:val="00AF6DBB"/>
    <w:rsid w:val="00AF6E9D"/>
    <w:rsid w:val="00AF7128"/>
    <w:rsid w:val="00AF72EB"/>
    <w:rsid w:val="00AF7437"/>
    <w:rsid w:val="00AF799D"/>
    <w:rsid w:val="00AF7C99"/>
    <w:rsid w:val="00B01101"/>
    <w:rsid w:val="00B01C6D"/>
    <w:rsid w:val="00B01DD9"/>
    <w:rsid w:val="00B025B8"/>
    <w:rsid w:val="00B025BC"/>
    <w:rsid w:val="00B0298F"/>
    <w:rsid w:val="00B029D9"/>
    <w:rsid w:val="00B03544"/>
    <w:rsid w:val="00B03953"/>
    <w:rsid w:val="00B03B1A"/>
    <w:rsid w:val="00B03E15"/>
    <w:rsid w:val="00B045EE"/>
    <w:rsid w:val="00B04AFB"/>
    <w:rsid w:val="00B04D68"/>
    <w:rsid w:val="00B051E3"/>
    <w:rsid w:val="00B05A10"/>
    <w:rsid w:val="00B05CD3"/>
    <w:rsid w:val="00B068CD"/>
    <w:rsid w:val="00B06AD2"/>
    <w:rsid w:val="00B06B1E"/>
    <w:rsid w:val="00B07225"/>
    <w:rsid w:val="00B079EF"/>
    <w:rsid w:val="00B07EFC"/>
    <w:rsid w:val="00B10EB7"/>
    <w:rsid w:val="00B12ED4"/>
    <w:rsid w:val="00B13228"/>
    <w:rsid w:val="00B13B0A"/>
    <w:rsid w:val="00B14490"/>
    <w:rsid w:val="00B148B6"/>
    <w:rsid w:val="00B14A9C"/>
    <w:rsid w:val="00B15C80"/>
    <w:rsid w:val="00B1665A"/>
    <w:rsid w:val="00B166B8"/>
    <w:rsid w:val="00B16A4C"/>
    <w:rsid w:val="00B174B1"/>
    <w:rsid w:val="00B17FF3"/>
    <w:rsid w:val="00B201D5"/>
    <w:rsid w:val="00B20274"/>
    <w:rsid w:val="00B20FF2"/>
    <w:rsid w:val="00B218A8"/>
    <w:rsid w:val="00B21AAB"/>
    <w:rsid w:val="00B21C18"/>
    <w:rsid w:val="00B21C2A"/>
    <w:rsid w:val="00B22438"/>
    <w:rsid w:val="00B22463"/>
    <w:rsid w:val="00B22903"/>
    <w:rsid w:val="00B2364B"/>
    <w:rsid w:val="00B23679"/>
    <w:rsid w:val="00B23715"/>
    <w:rsid w:val="00B23B97"/>
    <w:rsid w:val="00B23DDA"/>
    <w:rsid w:val="00B24CEB"/>
    <w:rsid w:val="00B24FAB"/>
    <w:rsid w:val="00B24FCB"/>
    <w:rsid w:val="00B251EC"/>
    <w:rsid w:val="00B2561E"/>
    <w:rsid w:val="00B256A4"/>
    <w:rsid w:val="00B25C47"/>
    <w:rsid w:val="00B25DB0"/>
    <w:rsid w:val="00B267FC"/>
    <w:rsid w:val="00B26BCA"/>
    <w:rsid w:val="00B3016A"/>
    <w:rsid w:val="00B3036B"/>
    <w:rsid w:val="00B30523"/>
    <w:rsid w:val="00B30DEE"/>
    <w:rsid w:val="00B311BC"/>
    <w:rsid w:val="00B31FDE"/>
    <w:rsid w:val="00B321AF"/>
    <w:rsid w:val="00B32BDE"/>
    <w:rsid w:val="00B3389D"/>
    <w:rsid w:val="00B33D3E"/>
    <w:rsid w:val="00B342D9"/>
    <w:rsid w:val="00B34C41"/>
    <w:rsid w:val="00B351B5"/>
    <w:rsid w:val="00B3695F"/>
    <w:rsid w:val="00B3699C"/>
    <w:rsid w:val="00B36B89"/>
    <w:rsid w:val="00B37CEE"/>
    <w:rsid w:val="00B37E28"/>
    <w:rsid w:val="00B4000F"/>
    <w:rsid w:val="00B40ABE"/>
    <w:rsid w:val="00B40D9E"/>
    <w:rsid w:val="00B41A1B"/>
    <w:rsid w:val="00B41C71"/>
    <w:rsid w:val="00B42A2F"/>
    <w:rsid w:val="00B42C01"/>
    <w:rsid w:val="00B435A0"/>
    <w:rsid w:val="00B43DAE"/>
    <w:rsid w:val="00B44318"/>
    <w:rsid w:val="00B443AF"/>
    <w:rsid w:val="00B44CCD"/>
    <w:rsid w:val="00B44FDA"/>
    <w:rsid w:val="00B4518B"/>
    <w:rsid w:val="00B457E0"/>
    <w:rsid w:val="00B45F73"/>
    <w:rsid w:val="00B47062"/>
    <w:rsid w:val="00B4722D"/>
    <w:rsid w:val="00B4724C"/>
    <w:rsid w:val="00B47EB0"/>
    <w:rsid w:val="00B47F98"/>
    <w:rsid w:val="00B502A8"/>
    <w:rsid w:val="00B50493"/>
    <w:rsid w:val="00B505A7"/>
    <w:rsid w:val="00B508C4"/>
    <w:rsid w:val="00B514E3"/>
    <w:rsid w:val="00B52399"/>
    <w:rsid w:val="00B5379A"/>
    <w:rsid w:val="00B53956"/>
    <w:rsid w:val="00B54006"/>
    <w:rsid w:val="00B541DF"/>
    <w:rsid w:val="00B54A80"/>
    <w:rsid w:val="00B5501B"/>
    <w:rsid w:val="00B550D3"/>
    <w:rsid w:val="00B55182"/>
    <w:rsid w:val="00B551AD"/>
    <w:rsid w:val="00B5525D"/>
    <w:rsid w:val="00B55714"/>
    <w:rsid w:val="00B55D31"/>
    <w:rsid w:val="00B568F0"/>
    <w:rsid w:val="00B56F7B"/>
    <w:rsid w:val="00B5721A"/>
    <w:rsid w:val="00B57311"/>
    <w:rsid w:val="00B5752D"/>
    <w:rsid w:val="00B57939"/>
    <w:rsid w:val="00B57BBA"/>
    <w:rsid w:val="00B57EA7"/>
    <w:rsid w:val="00B6034F"/>
    <w:rsid w:val="00B60866"/>
    <w:rsid w:val="00B60928"/>
    <w:rsid w:val="00B60B02"/>
    <w:rsid w:val="00B60C3D"/>
    <w:rsid w:val="00B61583"/>
    <w:rsid w:val="00B6170D"/>
    <w:rsid w:val="00B62C97"/>
    <w:rsid w:val="00B62D82"/>
    <w:rsid w:val="00B633FC"/>
    <w:rsid w:val="00B64062"/>
    <w:rsid w:val="00B6408C"/>
    <w:rsid w:val="00B648CD"/>
    <w:rsid w:val="00B6506F"/>
    <w:rsid w:val="00B65132"/>
    <w:rsid w:val="00B65A94"/>
    <w:rsid w:val="00B66700"/>
    <w:rsid w:val="00B66B00"/>
    <w:rsid w:val="00B66FD7"/>
    <w:rsid w:val="00B674A1"/>
    <w:rsid w:val="00B676A4"/>
    <w:rsid w:val="00B70E00"/>
    <w:rsid w:val="00B71C8A"/>
    <w:rsid w:val="00B71F83"/>
    <w:rsid w:val="00B72324"/>
    <w:rsid w:val="00B724B5"/>
    <w:rsid w:val="00B72647"/>
    <w:rsid w:val="00B73B28"/>
    <w:rsid w:val="00B73B44"/>
    <w:rsid w:val="00B74565"/>
    <w:rsid w:val="00B74CA6"/>
    <w:rsid w:val="00B7551A"/>
    <w:rsid w:val="00B76241"/>
    <w:rsid w:val="00B7637A"/>
    <w:rsid w:val="00B76DB3"/>
    <w:rsid w:val="00B76EB2"/>
    <w:rsid w:val="00B77EEA"/>
    <w:rsid w:val="00B80392"/>
    <w:rsid w:val="00B803A6"/>
    <w:rsid w:val="00B807B6"/>
    <w:rsid w:val="00B809DB"/>
    <w:rsid w:val="00B81111"/>
    <w:rsid w:val="00B81D96"/>
    <w:rsid w:val="00B8213F"/>
    <w:rsid w:val="00B8225F"/>
    <w:rsid w:val="00B8249F"/>
    <w:rsid w:val="00B82945"/>
    <w:rsid w:val="00B83467"/>
    <w:rsid w:val="00B83824"/>
    <w:rsid w:val="00B8389F"/>
    <w:rsid w:val="00B85BD6"/>
    <w:rsid w:val="00B85D5C"/>
    <w:rsid w:val="00B85EA6"/>
    <w:rsid w:val="00B86437"/>
    <w:rsid w:val="00B865AF"/>
    <w:rsid w:val="00B86A09"/>
    <w:rsid w:val="00B87087"/>
    <w:rsid w:val="00B87383"/>
    <w:rsid w:val="00B9086F"/>
    <w:rsid w:val="00B90DD4"/>
    <w:rsid w:val="00B9104C"/>
    <w:rsid w:val="00B91A5B"/>
    <w:rsid w:val="00B91BA2"/>
    <w:rsid w:val="00B91ED9"/>
    <w:rsid w:val="00B927B6"/>
    <w:rsid w:val="00B92A10"/>
    <w:rsid w:val="00B92BF4"/>
    <w:rsid w:val="00B92D55"/>
    <w:rsid w:val="00B92EA2"/>
    <w:rsid w:val="00B93008"/>
    <w:rsid w:val="00B943A7"/>
    <w:rsid w:val="00B94A26"/>
    <w:rsid w:val="00B95782"/>
    <w:rsid w:val="00B961C4"/>
    <w:rsid w:val="00B96CEB"/>
    <w:rsid w:val="00B97753"/>
    <w:rsid w:val="00B97853"/>
    <w:rsid w:val="00B97EE8"/>
    <w:rsid w:val="00BA00FD"/>
    <w:rsid w:val="00BA139C"/>
    <w:rsid w:val="00BA189B"/>
    <w:rsid w:val="00BA1D56"/>
    <w:rsid w:val="00BA2B25"/>
    <w:rsid w:val="00BA2C67"/>
    <w:rsid w:val="00BA2D45"/>
    <w:rsid w:val="00BA3A9D"/>
    <w:rsid w:val="00BA3D9D"/>
    <w:rsid w:val="00BA3F8D"/>
    <w:rsid w:val="00BA4A6B"/>
    <w:rsid w:val="00BA5291"/>
    <w:rsid w:val="00BA5BB1"/>
    <w:rsid w:val="00BA66E9"/>
    <w:rsid w:val="00BA6ABE"/>
    <w:rsid w:val="00BB005A"/>
    <w:rsid w:val="00BB036C"/>
    <w:rsid w:val="00BB0767"/>
    <w:rsid w:val="00BB18DF"/>
    <w:rsid w:val="00BB1ABB"/>
    <w:rsid w:val="00BB1EBC"/>
    <w:rsid w:val="00BB205B"/>
    <w:rsid w:val="00BB2418"/>
    <w:rsid w:val="00BB2DE4"/>
    <w:rsid w:val="00BB3715"/>
    <w:rsid w:val="00BB3B7A"/>
    <w:rsid w:val="00BB44DB"/>
    <w:rsid w:val="00BB56E4"/>
    <w:rsid w:val="00BB5C63"/>
    <w:rsid w:val="00BB5F4C"/>
    <w:rsid w:val="00BB616C"/>
    <w:rsid w:val="00BB64B3"/>
    <w:rsid w:val="00BB6F13"/>
    <w:rsid w:val="00BB769A"/>
    <w:rsid w:val="00BB7711"/>
    <w:rsid w:val="00BB7EC8"/>
    <w:rsid w:val="00BC000C"/>
    <w:rsid w:val="00BC0471"/>
    <w:rsid w:val="00BC0AA5"/>
    <w:rsid w:val="00BC1CD4"/>
    <w:rsid w:val="00BC1CE5"/>
    <w:rsid w:val="00BC1D40"/>
    <w:rsid w:val="00BC22AC"/>
    <w:rsid w:val="00BC2590"/>
    <w:rsid w:val="00BC2B61"/>
    <w:rsid w:val="00BC3693"/>
    <w:rsid w:val="00BC396F"/>
    <w:rsid w:val="00BC401A"/>
    <w:rsid w:val="00BC4219"/>
    <w:rsid w:val="00BC4495"/>
    <w:rsid w:val="00BC46E9"/>
    <w:rsid w:val="00BC498C"/>
    <w:rsid w:val="00BC5623"/>
    <w:rsid w:val="00BC61CA"/>
    <w:rsid w:val="00BC6E27"/>
    <w:rsid w:val="00BC73A2"/>
    <w:rsid w:val="00BC7620"/>
    <w:rsid w:val="00BD00A7"/>
    <w:rsid w:val="00BD12D7"/>
    <w:rsid w:val="00BD15FB"/>
    <w:rsid w:val="00BD1623"/>
    <w:rsid w:val="00BD17EA"/>
    <w:rsid w:val="00BD1BC4"/>
    <w:rsid w:val="00BD2FDE"/>
    <w:rsid w:val="00BD3383"/>
    <w:rsid w:val="00BD3B31"/>
    <w:rsid w:val="00BD408C"/>
    <w:rsid w:val="00BD4CA8"/>
    <w:rsid w:val="00BD4D76"/>
    <w:rsid w:val="00BD52BF"/>
    <w:rsid w:val="00BD555B"/>
    <w:rsid w:val="00BD5B36"/>
    <w:rsid w:val="00BD60A8"/>
    <w:rsid w:val="00BD60B5"/>
    <w:rsid w:val="00BD66A1"/>
    <w:rsid w:val="00BD68B4"/>
    <w:rsid w:val="00BD6B7D"/>
    <w:rsid w:val="00BD6CD4"/>
    <w:rsid w:val="00BD6CE2"/>
    <w:rsid w:val="00BD6E5D"/>
    <w:rsid w:val="00BD7649"/>
    <w:rsid w:val="00BD7A96"/>
    <w:rsid w:val="00BE2B12"/>
    <w:rsid w:val="00BE3066"/>
    <w:rsid w:val="00BE3793"/>
    <w:rsid w:val="00BE387E"/>
    <w:rsid w:val="00BE3B38"/>
    <w:rsid w:val="00BE4076"/>
    <w:rsid w:val="00BE4CAA"/>
    <w:rsid w:val="00BE4D1F"/>
    <w:rsid w:val="00BE5477"/>
    <w:rsid w:val="00BE56E3"/>
    <w:rsid w:val="00BE643A"/>
    <w:rsid w:val="00BE6A72"/>
    <w:rsid w:val="00BE6BA7"/>
    <w:rsid w:val="00BE7762"/>
    <w:rsid w:val="00BF0076"/>
    <w:rsid w:val="00BF018C"/>
    <w:rsid w:val="00BF0278"/>
    <w:rsid w:val="00BF19FF"/>
    <w:rsid w:val="00BF2402"/>
    <w:rsid w:val="00BF251C"/>
    <w:rsid w:val="00BF267A"/>
    <w:rsid w:val="00BF29EB"/>
    <w:rsid w:val="00BF2F39"/>
    <w:rsid w:val="00BF369B"/>
    <w:rsid w:val="00BF37BA"/>
    <w:rsid w:val="00BF4DEC"/>
    <w:rsid w:val="00BF554C"/>
    <w:rsid w:val="00BF6034"/>
    <w:rsid w:val="00BF65DC"/>
    <w:rsid w:val="00BF69EB"/>
    <w:rsid w:val="00BF6FF2"/>
    <w:rsid w:val="00BF7A86"/>
    <w:rsid w:val="00BF7FD9"/>
    <w:rsid w:val="00BF7FFD"/>
    <w:rsid w:val="00C00367"/>
    <w:rsid w:val="00C00642"/>
    <w:rsid w:val="00C01D7D"/>
    <w:rsid w:val="00C02017"/>
    <w:rsid w:val="00C020CF"/>
    <w:rsid w:val="00C02690"/>
    <w:rsid w:val="00C0282D"/>
    <w:rsid w:val="00C02AFC"/>
    <w:rsid w:val="00C02ED9"/>
    <w:rsid w:val="00C03403"/>
    <w:rsid w:val="00C035CA"/>
    <w:rsid w:val="00C0361A"/>
    <w:rsid w:val="00C041A0"/>
    <w:rsid w:val="00C041A7"/>
    <w:rsid w:val="00C04F6F"/>
    <w:rsid w:val="00C052D8"/>
    <w:rsid w:val="00C0538F"/>
    <w:rsid w:val="00C05BF7"/>
    <w:rsid w:val="00C05FD0"/>
    <w:rsid w:val="00C06BD9"/>
    <w:rsid w:val="00C06E50"/>
    <w:rsid w:val="00C07016"/>
    <w:rsid w:val="00C072AD"/>
    <w:rsid w:val="00C075AD"/>
    <w:rsid w:val="00C0764F"/>
    <w:rsid w:val="00C1073E"/>
    <w:rsid w:val="00C1092E"/>
    <w:rsid w:val="00C109E4"/>
    <w:rsid w:val="00C10B05"/>
    <w:rsid w:val="00C11CC1"/>
    <w:rsid w:val="00C12334"/>
    <w:rsid w:val="00C12F50"/>
    <w:rsid w:val="00C131AE"/>
    <w:rsid w:val="00C14217"/>
    <w:rsid w:val="00C14B45"/>
    <w:rsid w:val="00C14C61"/>
    <w:rsid w:val="00C14EC2"/>
    <w:rsid w:val="00C15174"/>
    <w:rsid w:val="00C15548"/>
    <w:rsid w:val="00C15A2B"/>
    <w:rsid w:val="00C15EF5"/>
    <w:rsid w:val="00C161F6"/>
    <w:rsid w:val="00C167DF"/>
    <w:rsid w:val="00C16CC4"/>
    <w:rsid w:val="00C17661"/>
    <w:rsid w:val="00C178B4"/>
    <w:rsid w:val="00C17BCF"/>
    <w:rsid w:val="00C21661"/>
    <w:rsid w:val="00C2175B"/>
    <w:rsid w:val="00C2264B"/>
    <w:rsid w:val="00C22654"/>
    <w:rsid w:val="00C22673"/>
    <w:rsid w:val="00C226A4"/>
    <w:rsid w:val="00C2271D"/>
    <w:rsid w:val="00C22B9B"/>
    <w:rsid w:val="00C22DCA"/>
    <w:rsid w:val="00C22F7C"/>
    <w:rsid w:val="00C2302D"/>
    <w:rsid w:val="00C233C5"/>
    <w:rsid w:val="00C2397E"/>
    <w:rsid w:val="00C23AED"/>
    <w:rsid w:val="00C23EE4"/>
    <w:rsid w:val="00C2408D"/>
    <w:rsid w:val="00C24182"/>
    <w:rsid w:val="00C241DE"/>
    <w:rsid w:val="00C2429E"/>
    <w:rsid w:val="00C2462C"/>
    <w:rsid w:val="00C24804"/>
    <w:rsid w:val="00C24906"/>
    <w:rsid w:val="00C25D35"/>
    <w:rsid w:val="00C26DC4"/>
    <w:rsid w:val="00C26F0B"/>
    <w:rsid w:val="00C26FB4"/>
    <w:rsid w:val="00C270C0"/>
    <w:rsid w:val="00C27320"/>
    <w:rsid w:val="00C27353"/>
    <w:rsid w:val="00C274D1"/>
    <w:rsid w:val="00C27DFE"/>
    <w:rsid w:val="00C30304"/>
    <w:rsid w:val="00C307E8"/>
    <w:rsid w:val="00C3098A"/>
    <w:rsid w:val="00C31385"/>
    <w:rsid w:val="00C313EF"/>
    <w:rsid w:val="00C3181C"/>
    <w:rsid w:val="00C33046"/>
    <w:rsid w:val="00C3308C"/>
    <w:rsid w:val="00C3320C"/>
    <w:rsid w:val="00C33218"/>
    <w:rsid w:val="00C338AF"/>
    <w:rsid w:val="00C338BB"/>
    <w:rsid w:val="00C35181"/>
    <w:rsid w:val="00C35249"/>
    <w:rsid w:val="00C35312"/>
    <w:rsid w:val="00C3544A"/>
    <w:rsid w:val="00C3666B"/>
    <w:rsid w:val="00C367DF"/>
    <w:rsid w:val="00C36B9F"/>
    <w:rsid w:val="00C3712C"/>
    <w:rsid w:val="00C408C2"/>
    <w:rsid w:val="00C409B2"/>
    <w:rsid w:val="00C41C69"/>
    <w:rsid w:val="00C42011"/>
    <w:rsid w:val="00C422E4"/>
    <w:rsid w:val="00C42736"/>
    <w:rsid w:val="00C43254"/>
    <w:rsid w:val="00C43480"/>
    <w:rsid w:val="00C4513D"/>
    <w:rsid w:val="00C4524B"/>
    <w:rsid w:val="00C464AE"/>
    <w:rsid w:val="00C46906"/>
    <w:rsid w:val="00C46D5E"/>
    <w:rsid w:val="00C46DB1"/>
    <w:rsid w:val="00C47108"/>
    <w:rsid w:val="00C4761E"/>
    <w:rsid w:val="00C50A19"/>
    <w:rsid w:val="00C50E3B"/>
    <w:rsid w:val="00C510AB"/>
    <w:rsid w:val="00C5125E"/>
    <w:rsid w:val="00C515B0"/>
    <w:rsid w:val="00C51625"/>
    <w:rsid w:val="00C51AA5"/>
    <w:rsid w:val="00C5254F"/>
    <w:rsid w:val="00C52C21"/>
    <w:rsid w:val="00C52D8B"/>
    <w:rsid w:val="00C53202"/>
    <w:rsid w:val="00C53948"/>
    <w:rsid w:val="00C542B3"/>
    <w:rsid w:val="00C545E2"/>
    <w:rsid w:val="00C546B0"/>
    <w:rsid w:val="00C54D3B"/>
    <w:rsid w:val="00C5520B"/>
    <w:rsid w:val="00C554A0"/>
    <w:rsid w:val="00C55A19"/>
    <w:rsid w:val="00C55A2E"/>
    <w:rsid w:val="00C56205"/>
    <w:rsid w:val="00C567B9"/>
    <w:rsid w:val="00C56804"/>
    <w:rsid w:val="00C56903"/>
    <w:rsid w:val="00C56947"/>
    <w:rsid w:val="00C5697F"/>
    <w:rsid w:val="00C56D0B"/>
    <w:rsid w:val="00C56DB6"/>
    <w:rsid w:val="00C573CA"/>
    <w:rsid w:val="00C57513"/>
    <w:rsid w:val="00C60702"/>
    <w:rsid w:val="00C60DE0"/>
    <w:rsid w:val="00C60EF2"/>
    <w:rsid w:val="00C61B77"/>
    <w:rsid w:val="00C61C26"/>
    <w:rsid w:val="00C61C8A"/>
    <w:rsid w:val="00C622C8"/>
    <w:rsid w:val="00C623E8"/>
    <w:rsid w:val="00C62491"/>
    <w:rsid w:val="00C62C68"/>
    <w:rsid w:val="00C62D55"/>
    <w:rsid w:val="00C63434"/>
    <w:rsid w:val="00C63B05"/>
    <w:rsid w:val="00C64120"/>
    <w:rsid w:val="00C64DEC"/>
    <w:rsid w:val="00C65FF7"/>
    <w:rsid w:val="00C66997"/>
    <w:rsid w:val="00C669AA"/>
    <w:rsid w:val="00C66DCD"/>
    <w:rsid w:val="00C674D6"/>
    <w:rsid w:val="00C6756D"/>
    <w:rsid w:val="00C675F4"/>
    <w:rsid w:val="00C67C1F"/>
    <w:rsid w:val="00C67C31"/>
    <w:rsid w:val="00C70458"/>
    <w:rsid w:val="00C7054A"/>
    <w:rsid w:val="00C705F2"/>
    <w:rsid w:val="00C70AB8"/>
    <w:rsid w:val="00C70BA5"/>
    <w:rsid w:val="00C7103D"/>
    <w:rsid w:val="00C713B1"/>
    <w:rsid w:val="00C72CAC"/>
    <w:rsid w:val="00C734C3"/>
    <w:rsid w:val="00C73E46"/>
    <w:rsid w:val="00C748CB"/>
    <w:rsid w:val="00C75327"/>
    <w:rsid w:val="00C7680B"/>
    <w:rsid w:val="00C76C37"/>
    <w:rsid w:val="00C76EC8"/>
    <w:rsid w:val="00C773D9"/>
    <w:rsid w:val="00C80721"/>
    <w:rsid w:val="00C817BE"/>
    <w:rsid w:val="00C8225B"/>
    <w:rsid w:val="00C827E2"/>
    <w:rsid w:val="00C82ADA"/>
    <w:rsid w:val="00C82CC5"/>
    <w:rsid w:val="00C8310C"/>
    <w:rsid w:val="00C83343"/>
    <w:rsid w:val="00C8340F"/>
    <w:rsid w:val="00C838FE"/>
    <w:rsid w:val="00C83B4D"/>
    <w:rsid w:val="00C8559E"/>
    <w:rsid w:val="00C85859"/>
    <w:rsid w:val="00C85F36"/>
    <w:rsid w:val="00C864D8"/>
    <w:rsid w:val="00C868E6"/>
    <w:rsid w:val="00C8762B"/>
    <w:rsid w:val="00C900F1"/>
    <w:rsid w:val="00C90101"/>
    <w:rsid w:val="00C903BA"/>
    <w:rsid w:val="00C90A17"/>
    <w:rsid w:val="00C90C9A"/>
    <w:rsid w:val="00C91335"/>
    <w:rsid w:val="00C9167F"/>
    <w:rsid w:val="00C91A8F"/>
    <w:rsid w:val="00C91B88"/>
    <w:rsid w:val="00C91E96"/>
    <w:rsid w:val="00C92ACA"/>
    <w:rsid w:val="00C92B1D"/>
    <w:rsid w:val="00C92C1E"/>
    <w:rsid w:val="00C93016"/>
    <w:rsid w:val="00C9306B"/>
    <w:rsid w:val="00C9310C"/>
    <w:rsid w:val="00C9414C"/>
    <w:rsid w:val="00C94DE5"/>
    <w:rsid w:val="00C95139"/>
    <w:rsid w:val="00C95D44"/>
    <w:rsid w:val="00C97233"/>
    <w:rsid w:val="00C97454"/>
    <w:rsid w:val="00CA001E"/>
    <w:rsid w:val="00CA027B"/>
    <w:rsid w:val="00CA04C2"/>
    <w:rsid w:val="00CA0663"/>
    <w:rsid w:val="00CA0684"/>
    <w:rsid w:val="00CA07E7"/>
    <w:rsid w:val="00CA19D9"/>
    <w:rsid w:val="00CA1D5D"/>
    <w:rsid w:val="00CA23D4"/>
    <w:rsid w:val="00CA2BE9"/>
    <w:rsid w:val="00CA3287"/>
    <w:rsid w:val="00CA3CED"/>
    <w:rsid w:val="00CA3EAF"/>
    <w:rsid w:val="00CA42C4"/>
    <w:rsid w:val="00CA4F5D"/>
    <w:rsid w:val="00CA4FB8"/>
    <w:rsid w:val="00CA5343"/>
    <w:rsid w:val="00CA53DE"/>
    <w:rsid w:val="00CA583D"/>
    <w:rsid w:val="00CA657B"/>
    <w:rsid w:val="00CA659C"/>
    <w:rsid w:val="00CA68E7"/>
    <w:rsid w:val="00CA7DC3"/>
    <w:rsid w:val="00CB0D98"/>
    <w:rsid w:val="00CB1169"/>
    <w:rsid w:val="00CB1947"/>
    <w:rsid w:val="00CB1A68"/>
    <w:rsid w:val="00CB2B7A"/>
    <w:rsid w:val="00CB2D07"/>
    <w:rsid w:val="00CB35E6"/>
    <w:rsid w:val="00CB3A99"/>
    <w:rsid w:val="00CB4AFC"/>
    <w:rsid w:val="00CB4DFE"/>
    <w:rsid w:val="00CB57EB"/>
    <w:rsid w:val="00CB6608"/>
    <w:rsid w:val="00CB6C5C"/>
    <w:rsid w:val="00CC099D"/>
    <w:rsid w:val="00CC120E"/>
    <w:rsid w:val="00CC179E"/>
    <w:rsid w:val="00CC1DCA"/>
    <w:rsid w:val="00CC231A"/>
    <w:rsid w:val="00CC47C4"/>
    <w:rsid w:val="00CC48FB"/>
    <w:rsid w:val="00CC504A"/>
    <w:rsid w:val="00CC5E81"/>
    <w:rsid w:val="00CC6076"/>
    <w:rsid w:val="00CC63F7"/>
    <w:rsid w:val="00CC6961"/>
    <w:rsid w:val="00CC6F33"/>
    <w:rsid w:val="00CD01F3"/>
    <w:rsid w:val="00CD022D"/>
    <w:rsid w:val="00CD024D"/>
    <w:rsid w:val="00CD09BE"/>
    <w:rsid w:val="00CD0B38"/>
    <w:rsid w:val="00CD0D10"/>
    <w:rsid w:val="00CD1C22"/>
    <w:rsid w:val="00CD2248"/>
    <w:rsid w:val="00CD22DF"/>
    <w:rsid w:val="00CD23B7"/>
    <w:rsid w:val="00CD25E6"/>
    <w:rsid w:val="00CD2733"/>
    <w:rsid w:val="00CD2B52"/>
    <w:rsid w:val="00CD365B"/>
    <w:rsid w:val="00CD4440"/>
    <w:rsid w:val="00CD4460"/>
    <w:rsid w:val="00CD4928"/>
    <w:rsid w:val="00CD4D26"/>
    <w:rsid w:val="00CD543B"/>
    <w:rsid w:val="00CD5812"/>
    <w:rsid w:val="00CD5B32"/>
    <w:rsid w:val="00CD6C4A"/>
    <w:rsid w:val="00CD6C4C"/>
    <w:rsid w:val="00CD7610"/>
    <w:rsid w:val="00CE0A19"/>
    <w:rsid w:val="00CE0B1B"/>
    <w:rsid w:val="00CE154E"/>
    <w:rsid w:val="00CE22C4"/>
    <w:rsid w:val="00CE2570"/>
    <w:rsid w:val="00CE2CAF"/>
    <w:rsid w:val="00CE2D34"/>
    <w:rsid w:val="00CE439C"/>
    <w:rsid w:val="00CE43E2"/>
    <w:rsid w:val="00CE4704"/>
    <w:rsid w:val="00CE4E72"/>
    <w:rsid w:val="00CE52A6"/>
    <w:rsid w:val="00CE545B"/>
    <w:rsid w:val="00CE569F"/>
    <w:rsid w:val="00CE58D9"/>
    <w:rsid w:val="00CE5ADA"/>
    <w:rsid w:val="00CE5E3F"/>
    <w:rsid w:val="00CE6016"/>
    <w:rsid w:val="00CE608F"/>
    <w:rsid w:val="00CE6941"/>
    <w:rsid w:val="00CE74E6"/>
    <w:rsid w:val="00CE7739"/>
    <w:rsid w:val="00CE7FCA"/>
    <w:rsid w:val="00CF0A3D"/>
    <w:rsid w:val="00CF0D24"/>
    <w:rsid w:val="00CF0FB0"/>
    <w:rsid w:val="00CF1F8E"/>
    <w:rsid w:val="00CF200C"/>
    <w:rsid w:val="00CF26D7"/>
    <w:rsid w:val="00CF2A3C"/>
    <w:rsid w:val="00CF2B58"/>
    <w:rsid w:val="00CF2B79"/>
    <w:rsid w:val="00CF3338"/>
    <w:rsid w:val="00CF3789"/>
    <w:rsid w:val="00CF386F"/>
    <w:rsid w:val="00CF400E"/>
    <w:rsid w:val="00CF40B8"/>
    <w:rsid w:val="00CF4F7E"/>
    <w:rsid w:val="00CF51F4"/>
    <w:rsid w:val="00CF55C7"/>
    <w:rsid w:val="00CF5942"/>
    <w:rsid w:val="00CF6142"/>
    <w:rsid w:val="00CF6727"/>
    <w:rsid w:val="00CF67D8"/>
    <w:rsid w:val="00CF69D8"/>
    <w:rsid w:val="00CF7017"/>
    <w:rsid w:val="00CF7207"/>
    <w:rsid w:val="00CF7693"/>
    <w:rsid w:val="00D00ABF"/>
    <w:rsid w:val="00D00B51"/>
    <w:rsid w:val="00D01019"/>
    <w:rsid w:val="00D01BDC"/>
    <w:rsid w:val="00D01CE1"/>
    <w:rsid w:val="00D01FB9"/>
    <w:rsid w:val="00D0205D"/>
    <w:rsid w:val="00D021FF"/>
    <w:rsid w:val="00D02312"/>
    <w:rsid w:val="00D02514"/>
    <w:rsid w:val="00D026A0"/>
    <w:rsid w:val="00D0300A"/>
    <w:rsid w:val="00D042BC"/>
    <w:rsid w:val="00D0472C"/>
    <w:rsid w:val="00D05E5D"/>
    <w:rsid w:val="00D05F63"/>
    <w:rsid w:val="00D06754"/>
    <w:rsid w:val="00D0759A"/>
    <w:rsid w:val="00D07D6C"/>
    <w:rsid w:val="00D10482"/>
    <w:rsid w:val="00D10D9A"/>
    <w:rsid w:val="00D117B4"/>
    <w:rsid w:val="00D11C07"/>
    <w:rsid w:val="00D122EF"/>
    <w:rsid w:val="00D1238E"/>
    <w:rsid w:val="00D13060"/>
    <w:rsid w:val="00D1385E"/>
    <w:rsid w:val="00D13B24"/>
    <w:rsid w:val="00D13C6E"/>
    <w:rsid w:val="00D13D63"/>
    <w:rsid w:val="00D148D4"/>
    <w:rsid w:val="00D14C1F"/>
    <w:rsid w:val="00D162A9"/>
    <w:rsid w:val="00D16321"/>
    <w:rsid w:val="00D16F79"/>
    <w:rsid w:val="00D17334"/>
    <w:rsid w:val="00D1784D"/>
    <w:rsid w:val="00D1793D"/>
    <w:rsid w:val="00D20243"/>
    <w:rsid w:val="00D206EC"/>
    <w:rsid w:val="00D20A75"/>
    <w:rsid w:val="00D20A90"/>
    <w:rsid w:val="00D20D72"/>
    <w:rsid w:val="00D2185D"/>
    <w:rsid w:val="00D21A71"/>
    <w:rsid w:val="00D21D47"/>
    <w:rsid w:val="00D220A0"/>
    <w:rsid w:val="00D22EB5"/>
    <w:rsid w:val="00D23840"/>
    <w:rsid w:val="00D23B65"/>
    <w:rsid w:val="00D23EFD"/>
    <w:rsid w:val="00D24098"/>
    <w:rsid w:val="00D24387"/>
    <w:rsid w:val="00D24754"/>
    <w:rsid w:val="00D24974"/>
    <w:rsid w:val="00D24D15"/>
    <w:rsid w:val="00D25D3A"/>
    <w:rsid w:val="00D25E40"/>
    <w:rsid w:val="00D26F49"/>
    <w:rsid w:val="00D26F8F"/>
    <w:rsid w:val="00D2741F"/>
    <w:rsid w:val="00D27512"/>
    <w:rsid w:val="00D27DD0"/>
    <w:rsid w:val="00D30C3A"/>
    <w:rsid w:val="00D313F2"/>
    <w:rsid w:val="00D315E7"/>
    <w:rsid w:val="00D323EF"/>
    <w:rsid w:val="00D326CD"/>
    <w:rsid w:val="00D32792"/>
    <w:rsid w:val="00D329FC"/>
    <w:rsid w:val="00D33DC9"/>
    <w:rsid w:val="00D34AA5"/>
    <w:rsid w:val="00D34AC3"/>
    <w:rsid w:val="00D34D85"/>
    <w:rsid w:val="00D34E1B"/>
    <w:rsid w:val="00D35135"/>
    <w:rsid w:val="00D35283"/>
    <w:rsid w:val="00D35F28"/>
    <w:rsid w:val="00D36380"/>
    <w:rsid w:val="00D36786"/>
    <w:rsid w:val="00D36A51"/>
    <w:rsid w:val="00D36D1A"/>
    <w:rsid w:val="00D37E91"/>
    <w:rsid w:val="00D40E1F"/>
    <w:rsid w:val="00D411A4"/>
    <w:rsid w:val="00D41459"/>
    <w:rsid w:val="00D41564"/>
    <w:rsid w:val="00D415A6"/>
    <w:rsid w:val="00D41CDC"/>
    <w:rsid w:val="00D420ED"/>
    <w:rsid w:val="00D424A6"/>
    <w:rsid w:val="00D42CA3"/>
    <w:rsid w:val="00D4345D"/>
    <w:rsid w:val="00D434D4"/>
    <w:rsid w:val="00D438D2"/>
    <w:rsid w:val="00D43B56"/>
    <w:rsid w:val="00D443D5"/>
    <w:rsid w:val="00D44B26"/>
    <w:rsid w:val="00D44CF3"/>
    <w:rsid w:val="00D45419"/>
    <w:rsid w:val="00D46822"/>
    <w:rsid w:val="00D46CE2"/>
    <w:rsid w:val="00D47308"/>
    <w:rsid w:val="00D476F0"/>
    <w:rsid w:val="00D507CC"/>
    <w:rsid w:val="00D50C65"/>
    <w:rsid w:val="00D50FE4"/>
    <w:rsid w:val="00D51102"/>
    <w:rsid w:val="00D5139F"/>
    <w:rsid w:val="00D51719"/>
    <w:rsid w:val="00D5197C"/>
    <w:rsid w:val="00D51B2D"/>
    <w:rsid w:val="00D51D9F"/>
    <w:rsid w:val="00D51EFB"/>
    <w:rsid w:val="00D52217"/>
    <w:rsid w:val="00D52464"/>
    <w:rsid w:val="00D5377A"/>
    <w:rsid w:val="00D5436E"/>
    <w:rsid w:val="00D54C7A"/>
    <w:rsid w:val="00D54EC3"/>
    <w:rsid w:val="00D55817"/>
    <w:rsid w:val="00D559A0"/>
    <w:rsid w:val="00D55B97"/>
    <w:rsid w:val="00D55D63"/>
    <w:rsid w:val="00D56806"/>
    <w:rsid w:val="00D56E40"/>
    <w:rsid w:val="00D57359"/>
    <w:rsid w:val="00D57F42"/>
    <w:rsid w:val="00D57F75"/>
    <w:rsid w:val="00D610E8"/>
    <w:rsid w:val="00D6138C"/>
    <w:rsid w:val="00D61CF7"/>
    <w:rsid w:val="00D61D5B"/>
    <w:rsid w:val="00D61F82"/>
    <w:rsid w:val="00D625D7"/>
    <w:rsid w:val="00D62757"/>
    <w:rsid w:val="00D627A1"/>
    <w:rsid w:val="00D630AB"/>
    <w:rsid w:val="00D6310A"/>
    <w:rsid w:val="00D63260"/>
    <w:rsid w:val="00D63CA8"/>
    <w:rsid w:val="00D64ED8"/>
    <w:rsid w:val="00D65459"/>
    <w:rsid w:val="00D657CD"/>
    <w:rsid w:val="00D658C4"/>
    <w:rsid w:val="00D65E4A"/>
    <w:rsid w:val="00D65F14"/>
    <w:rsid w:val="00D6600B"/>
    <w:rsid w:val="00D663D9"/>
    <w:rsid w:val="00D66BE8"/>
    <w:rsid w:val="00D67151"/>
    <w:rsid w:val="00D67449"/>
    <w:rsid w:val="00D67C45"/>
    <w:rsid w:val="00D67DA4"/>
    <w:rsid w:val="00D708D8"/>
    <w:rsid w:val="00D70990"/>
    <w:rsid w:val="00D70FE8"/>
    <w:rsid w:val="00D71561"/>
    <w:rsid w:val="00D717FD"/>
    <w:rsid w:val="00D718CC"/>
    <w:rsid w:val="00D72A13"/>
    <w:rsid w:val="00D72D23"/>
    <w:rsid w:val="00D73B3A"/>
    <w:rsid w:val="00D73EBD"/>
    <w:rsid w:val="00D73ED5"/>
    <w:rsid w:val="00D741D7"/>
    <w:rsid w:val="00D74C3A"/>
    <w:rsid w:val="00D75772"/>
    <w:rsid w:val="00D76CE5"/>
    <w:rsid w:val="00D76EAB"/>
    <w:rsid w:val="00D801CF"/>
    <w:rsid w:val="00D80C50"/>
    <w:rsid w:val="00D812B4"/>
    <w:rsid w:val="00D81987"/>
    <w:rsid w:val="00D82A06"/>
    <w:rsid w:val="00D82CB9"/>
    <w:rsid w:val="00D82D6B"/>
    <w:rsid w:val="00D83E8A"/>
    <w:rsid w:val="00D85548"/>
    <w:rsid w:val="00D857D0"/>
    <w:rsid w:val="00D9056A"/>
    <w:rsid w:val="00D90728"/>
    <w:rsid w:val="00D90E41"/>
    <w:rsid w:val="00D90ED7"/>
    <w:rsid w:val="00D91CD3"/>
    <w:rsid w:val="00D92C53"/>
    <w:rsid w:val="00D92E41"/>
    <w:rsid w:val="00D92E7D"/>
    <w:rsid w:val="00D935A9"/>
    <w:rsid w:val="00D935B2"/>
    <w:rsid w:val="00D93DC8"/>
    <w:rsid w:val="00D948DD"/>
    <w:rsid w:val="00D94B00"/>
    <w:rsid w:val="00D95825"/>
    <w:rsid w:val="00D95B72"/>
    <w:rsid w:val="00D96193"/>
    <w:rsid w:val="00D966E1"/>
    <w:rsid w:val="00D96F12"/>
    <w:rsid w:val="00D97D85"/>
    <w:rsid w:val="00D97F13"/>
    <w:rsid w:val="00D97FA6"/>
    <w:rsid w:val="00DA01B3"/>
    <w:rsid w:val="00DA0A96"/>
    <w:rsid w:val="00DA0B3F"/>
    <w:rsid w:val="00DA1231"/>
    <w:rsid w:val="00DA19C1"/>
    <w:rsid w:val="00DA1C88"/>
    <w:rsid w:val="00DA1FCD"/>
    <w:rsid w:val="00DA2578"/>
    <w:rsid w:val="00DA2969"/>
    <w:rsid w:val="00DA42C7"/>
    <w:rsid w:val="00DA4A06"/>
    <w:rsid w:val="00DA567F"/>
    <w:rsid w:val="00DA58A4"/>
    <w:rsid w:val="00DA6531"/>
    <w:rsid w:val="00DA6623"/>
    <w:rsid w:val="00DA7CEC"/>
    <w:rsid w:val="00DA7E6D"/>
    <w:rsid w:val="00DB0F58"/>
    <w:rsid w:val="00DB134D"/>
    <w:rsid w:val="00DB1BCC"/>
    <w:rsid w:val="00DB1C79"/>
    <w:rsid w:val="00DB2149"/>
    <w:rsid w:val="00DB3B13"/>
    <w:rsid w:val="00DB5979"/>
    <w:rsid w:val="00DB71A1"/>
    <w:rsid w:val="00DB759C"/>
    <w:rsid w:val="00DB76CF"/>
    <w:rsid w:val="00DB7D5B"/>
    <w:rsid w:val="00DC00A4"/>
    <w:rsid w:val="00DC012F"/>
    <w:rsid w:val="00DC06C7"/>
    <w:rsid w:val="00DC1981"/>
    <w:rsid w:val="00DC24B6"/>
    <w:rsid w:val="00DC264E"/>
    <w:rsid w:val="00DC309C"/>
    <w:rsid w:val="00DC3D90"/>
    <w:rsid w:val="00DC498C"/>
    <w:rsid w:val="00DC4B05"/>
    <w:rsid w:val="00DC4E6B"/>
    <w:rsid w:val="00DC5137"/>
    <w:rsid w:val="00DC58A5"/>
    <w:rsid w:val="00DC5A7E"/>
    <w:rsid w:val="00DC5AD7"/>
    <w:rsid w:val="00DC6516"/>
    <w:rsid w:val="00DC7023"/>
    <w:rsid w:val="00DC7093"/>
    <w:rsid w:val="00DC7549"/>
    <w:rsid w:val="00DC7986"/>
    <w:rsid w:val="00DC7FED"/>
    <w:rsid w:val="00DD023B"/>
    <w:rsid w:val="00DD1425"/>
    <w:rsid w:val="00DD2484"/>
    <w:rsid w:val="00DD3421"/>
    <w:rsid w:val="00DD34A1"/>
    <w:rsid w:val="00DD3AF7"/>
    <w:rsid w:val="00DD3FF8"/>
    <w:rsid w:val="00DD5212"/>
    <w:rsid w:val="00DD5AC5"/>
    <w:rsid w:val="00DD6637"/>
    <w:rsid w:val="00DD6AF0"/>
    <w:rsid w:val="00DD6DA3"/>
    <w:rsid w:val="00DD76CB"/>
    <w:rsid w:val="00DD7AF8"/>
    <w:rsid w:val="00DE0974"/>
    <w:rsid w:val="00DE131D"/>
    <w:rsid w:val="00DE2909"/>
    <w:rsid w:val="00DE2C55"/>
    <w:rsid w:val="00DE314E"/>
    <w:rsid w:val="00DE3AB2"/>
    <w:rsid w:val="00DE3C5B"/>
    <w:rsid w:val="00DE439C"/>
    <w:rsid w:val="00DE4536"/>
    <w:rsid w:val="00DE470E"/>
    <w:rsid w:val="00DE496B"/>
    <w:rsid w:val="00DE4BB4"/>
    <w:rsid w:val="00DE5245"/>
    <w:rsid w:val="00DE59AB"/>
    <w:rsid w:val="00DE60CD"/>
    <w:rsid w:val="00DE63DF"/>
    <w:rsid w:val="00DE6669"/>
    <w:rsid w:val="00DE6A64"/>
    <w:rsid w:val="00DF05C4"/>
    <w:rsid w:val="00DF091C"/>
    <w:rsid w:val="00DF0A11"/>
    <w:rsid w:val="00DF0C0C"/>
    <w:rsid w:val="00DF0C1B"/>
    <w:rsid w:val="00DF1865"/>
    <w:rsid w:val="00DF1E61"/>
    <w:rsid w:val="00DF2E19"/>
    <w:rsid w:val="00DF2F29"/>
    <w:rsid w:val="00DF32C1"/>
    <w:rsid w:val="00DF351F"/>
    <w:rsid w:val="00DF3B90"/>
    <w:rsid w:val="00DF3CC2"/>
    <w:rsid w:val="00DF44F7"/>
    <w:rsid w:val="00DF4629"/>
    <w:rsid w:val="00DF4639"/>
    <w:rsid w:val="00DF6A17"/>
    <w:rsid w:val="00DF7443"/>
    <w:rsid w:val="00DF7648"/>
    <w:rsid w:val="00DF77FC"/>
    <w:rsid w:val="00DF797B"/>
    <w:rsid w:val="00DF7AB1"/>
    <w:rsid w:val="00DF7C71"/>
    <w:rsid w:val="00E0055D"/>
    <w:rsid w:val="00E007A5"/>
    <w:rsid w:val="00E00B94"/>
    <w:rsid w:val="00E00B9B"/>
    <w:rsid w:val="00E01183"/>
    <w:rsid w:val="00E014DF"/>
    <w:rsid w:val="00E01E3B"/>
    <w:rsid w:val="00E0212D"/>
    <w:rsid w:val="00E02217"/>
    <w:rsid w:val="00E02498"/>
    <w:rsid w:val="00E027FB"/>
    <w:rsid w:val="00E036F4"/>
    <w:rsid w:val="00E03CF0"/>
    <w:rsid w:val="00E03D0F"/>
    <w:rsid w:val="00E04054"/>
    <w:rsid w:val="00E0408B"/>
    <w:rsid w:val="00E04502"/>
    <w:rsid w:val="00E04658"/>
    <w:rsid w:val="00E047EF"/>
    <w:rsid w:val="00E048D5"/>
    <w:rsid w:val="00E051E5"/>
    <w:rsid w:val="00E057B0"/>
    <w:rsid w:val="00E05FC6"/>
    <w:rsid w:val="00E0613D"/>
    <w:rsid w:val="00E06B24"/>
    <w:rsid w:val="00E06E47"/>
    <w:rsid w:val="00E076A5"/>
    <w:rsid w:val="00E0791F"/>
    <w:rsid w:val="00E07C2C"/>
    <w:rsid w:val="00E10850"/>
    <w:rsid w:val="00E10AB6"/>
    <w:rsid w:val="00E11573"/>
    <w:rsid w:val="00E11AB7"/>
    <w:rsid w:val="00E11FD0"/>
    <w:rsid w:val="00E1276B"/>
    <w:rsid w:val="00E12785"/>
    <w:rsid w:val="00E13086"/>
    <w:rsid w:val="00E13CD4"/>
    <w:rsid w:val="00E13F29"/>
    <w:rsid w:val="00E145F2"/>
    <w:rsid w:val="00E14CB3"/>
    <w:rsid w:val="00E1527D"/>
    <w:rsid w:val="00E1528A"/>
    <w:rsid w:val="00E1580E"/>
    <w:rsid w:val="00E1598A"/>
    <w:rsid w:val="00E16145"/>
    <w:rsid w:val="00E165A6"/>
    <w:rsid w:val="00E167D9"/>
    <w:rsid w:val="00E200B5"/>
    <w:rsid w:val="00E20555"/>
    <w:rsid w:val="00E20704"/>
    <w:rsid w:val="00E20B82"/>
    <w:rsid w:val="00E20D4C"/>
    <w:rsid w:val="00E210CB"/>
    <w:rsid w:val="00E210F7"/>
    <w:rsid w:val="00E21222"/>
    <w:rsid w:val="00E21572"/>
    <w:rsid w:val="00E21951"/>
    <w:rsid w:val="00E23209"/>
    <w:rsid w:val="00E2332E"/>
    <w:rsid w:val="00E238EA"/>
    <w:rsid w:val="00E24C55"/>
    <w:rsid w:val="00E24DBE"/>
    <w:rsid w:val="00E24DE6"/>
    <w:rsid w:val="00E24F7D"/>
    <w:rsid w:val="00E25344"/>
    <w:rsid w:val="00E264EA"/>
    <w:rsid w:val="00E26A89"/>
    <w:rsid w:val="00E26D1F"/>
    <w:rsid w:val="00E26FD7"/>
    <w:rsid w:val="00E27B78"/>
    <w:rsid w:val="00E27C4F"/>
    <w:rsid w:val="00E31973"/>
    <w:rsid w:val="00E325D3"/>
    <w:rsid w:val="00E32A35"/>
    <w:rsid w:val="00E335F8"/>
    <w:rsid w:val="00E33C84"/>
    <w:rsid w:val="00E33DF1"/>
    <w:rsid w:val="00E3403C"/>
    <w:rsid w:val="00E34336"/>
    <w:rsid w:val="00E365B0"/>
    <w:rsid w:val="00E36B1A"/>
    <w:rsid w:val="00E36F1B"/>
    <w:rsid w:val="00E37FB2"/>
    <w:rsid w:val="00E4022E"/>
    <w:rsid w:val="00E406D7"/>
    <w:rsid w:val="00E40D3D"/>
    <w:rsid w:val="00E411CB"/>
    <w:rsid w:val="00E41622"/>
    <w:rsid w:val="00E41C3F"/>
    <w:rsid w:val="00E41F43"/>
    <w:rsid w:val="00E42110"/>
    <w:rsid w:val="00E42411"/>
    <w:rsid w:val="00E424CE"/>
    <w:rsid w:val="00E425F8"/>
    <w:rsid w:val="00E43BFC"/>
    <w:rsid w:val="00E43DE1"/>
    <w:rsid w:val="00E442E1"/>
    <w:rsid w:val="00E44769"/>
    <w:rsid w:val="00E456E3"/>
    <w:rsid w:val="00E45BA1"/>
    <w:rsid w:val="00E46146"/>
    <w:rsid w:val="00E47A6A"/>
    <w:rsid w:val="00E504A5"/>
    <w:rsid w:val="00E51219"/>
    <w:rsid w:val="00E51635"/>
    <w:rsid w:val="00E52718"/>
    <w:rsid w:val="00E5283B"/>
    <w:rsid w:val="00E528E2"/>
    <w:rsid w:val="00E52C44"/>
    <w:rsid w:val="00E53036"/>
    <w:rsid w:val="00E534D1"/>
    <w:rsid w:val="00E54A5E"/>
    <w:rsid w:val="00E54C7B"/>
    <w:rsid w:val="00E55365"/>
    <w:rsid w:val="00E55C4B"/>
    <w:rsid w:val="00E56E15"/>
    <w:rsid w:val="00E56E22"/>
    <w:rsid w:val="00E5700B"/>
    <w:rsid w:val="00E570C2"/>
    <w:rsid w:val="00E578B0"/>
    <w:rsid w:val="00E5793F"/>
    <w:rsid w:val="00E602EE"/>
    <w:rsid w:val="00E605BF"/>
    <w:rsid w:val="00E60C90"/>
    <w:rsid w:val="00E60F20"/>
    <w:rsid w:val="00E61079"/>
    <w:rsid w:val="00E61D89"/>
    <w:rsid w:val="00E61EA3"/>
    <w:rsid w:val="00E62005"/>
    <w:rsid w:val="00E623CB"/>
    <w:rsid w:val="00E62971"/>
    <w:rsid w:val="00E62993"/>
    <w:rsid w:val="00E62A4E"/>
    <w:rsid w:val="00E6311C"/>
    <w:rsid w:val="00E6314A"/>
    <w:rsid w:val="00E63778"/>
    <w:rsid w:val="00E63C02"/>
    <w:rsid w:val="00E64282"/>
    <w:rsid w:val="00E642CA"/>
    <w:rsid w:val="00E6465D"/>
    <w:rsid w:val="00E6602E"/>
    <w:rsid w:val="00E662D5"/>
    <w:rsid w:val="00E66EA8"/>
    <w:rsid w:val="00E67089"/>
    <w:rsid w:val="00E675AB"/>
    <w:rsid w:val="00E70131"/>
    <w:rsid w:val="00E70368"/>
    <w:rsid w:val="00E70991"/>
    <w:rsid w:val="00E71036"/>
    <w:rsid w:val="00E71116"/>
    <w:rsid w:val="00E7155C"/>
    <w:rsid w:val="00E719C8"/>
    <w:rsid w:val="00E71BFD"/>
    <w:rsid w:val="00E72440"/>
    <w:rsid w:val="00E73022"/>
    <w:rsid w:val="00E732B5"/>
    <w:rsid w:val="00E73E44"/>
    <w:rsid w:val="00E73E98"/>
    <w:rsid w:val="00E74685"/>
    <w:rsid w:val="00E74716"/>
    <w:rsid w:val="00E74FD2"/>
    <w:rsid w:val="00E7593B"/>
    <w:rsid w:val="00E7713A"/>
    <w:rsid w:val="00E77165"/>
    <w:rsid w:val="00E77227"/>
    <w:rsid w:val="00E77A10"/>
    <w:rsid w:val="00E800B0"/>
    <w:rsid w:val="00E800F3"/>
    <w:rsid w:val="00E804EB"/>
    <w:rsid w:val="00E8071F"/>
    <w:rsid w:val="00E80B08"/>
    <w:rsid w:val="00E80EE9"/>
    <w:rsid w:val="00E8152C"/>
    <w:rsid w:val="00E8222C"/>
    <w:rsid w:val="00E8236A"/>
    <w:rsid w:val="00E82413"/>
    <w:rsid w:val="00E82A74"/>
    <w:rsid w:val="00E82F27"/>
    <w:rsid w:val="00E838C7"/>
    <w:rsid w:val="00E83CDD"/>
    <w:rsid w:val="00E85446"/>
    <w:rsid w:val="00E85B8A"/>
    <w:rsid w:val="00E867A3"/>
    <w:rsid w:val="00E870CD"/>
    <w:rsid w:val="00E876F7"/>
    <w:rsid w:val="00E87CCC"/>
    <w:rsid w:val="00E90E1C"/>
    <w:rsid w:val="00E91072"/>
    <w:rsid w:val="00E91BCE"/>
    <w:rsid w:val="00E91D73"/>
    <w:rsid w:val="00E9239C"/>
    <w:rsid w:val="00E93868"/>
    <w:rsid w:val="00E94015"/>
    <w:rsid w:val="00E94697"/>
    <w:rsid w:val="00E9494A"/>
    <w:rsid w:val="00E94D36"/>
    <w:rsid w:val="00E9504A"/>
    <w:rsid w:val="00E959B8"/>
    <w:rsid w:val="00E964BF"/>
    <w:rsid w:val="00E96559"/>
    <w:rsid w:val="00E96CD6"/>
    <w:rsid w:val="00E96F0C"/>
    <w:rsid w:val="00E974CB"/>
    <w:rsid w:val="00E97646"/>
    <w:rsid w:val="00E97985"/>
    <w:rsid w:val="00EA023F"/>
    <w:rsid w:val="00EA0E08"/>
    <w:rsid w:val="00EA1094"/>
    <w:rsid w:val="00EA12CC"/>
    <w:rsid w:val="00EA17C9"/>
    <w:rsid w:val="00EA1D55"/>
    <w:rsid w:val="00EA25CD"/>
    <w:rsid w:val="00EA25E5"/>
    <w:rsid w:val="00EA2A9E"/>
    <w:rsid w:val="00EA2DA0"/>
    <w:rsid w:val="00EA3434"/>
    <w:rsid w:val="00EA4112"/>
    <w:rsid w:val="00EA4291"/>
    <w:rsid w:val="00EA42B8"/>
    <w:rsid w:val="00EA475D"/>
    <w:rsid w:val="00EA476D"/>
    <w:rsid w:val="00EA4AB0"/>
    <w:rsid w:val="00EA4FB9"/>
    <w:rsid w:val="00EA536E"/>
    <w:rsid w:val="00EA58C7"/>
    <w:rsid w:val="00EA58CF"/>
    <w:rsid w:val="00EA5924"/>
    <w:rsid w:val="00EA5C2B"/>
    <w:rsid w:val="00EA5D52"/>
    <w:rsid w:val="00EA62CA"/>
    <w:rsid w:val="00EA6F67"/>
    <w:rsid w:val="00EA6FDD"/>
    <w:rsid w:val="00EA762D"/>
    <w:rsid w:val="00EA7DF5"/>
    <w:rsid w:val="00EB0ADA"/>
    <w:rsid w:val="00EB113B"/>
    <w:rsid w:val="00EB132E"/>
    <w:rsid w:val="00EB1F14"/>
    <w:rsid w:val="00EB30E9"/>
    <w:rsid w:val="00EB358E"/>
    <w:rsid w:val="00EB35AC"/>
    <w:rsid w:val="00EB379E"/>
    <w:rsid w:val="00EB37A0"/>
    <w:rsid w:val="00EB3821"/>
    <w:rsid w:val="00EB40C2"/>
    <w:rsid w:val="00EB4123"/>
    <w:rsid w:val="00EB4E0F"/>
    <w:rsid w:val="00EB5900"/>
    <w:rsid w:val="00EB5F83"/>
    <w:rsid w:val="00EB64FD"/>
    <w:rsid w:val="00EB6730"/>
    <w:rsid w:val="00EB7B35"/>
    <w:rsid w:val="00EB7E5D"/>
    <w:rsid w:val="00EC0EC8"/>
    <w:rsid w:val="00EC15B3"/>
    <w:rsid w:val="00EC1667"/>
    <w:rsid w:val="00EC176B"/>
    <w:rsid w:val="00EC27A2"/>
    <w:rsid w:val="00EC2936"/>
    <w:rsid w:val="00EC2D94"/>
    <w:rsid w:val="00EC2E01"/>
    <w:rsid w:val="00EC2E8D"/>
    <w:rsid w:val="00EC323F"/>
    <w:rsid w:val="00EC3616"/>
    <w:rsid w:val="00EC39D7"/>
    <w:rsid w:val="00EC4A5E"/>
    <w:rsid w:val="00EC4B70"/>
    <w:rsid w:val="00EC52B7"/>
    <w:rsid w:val="00EC550C"/>
    <w:rsid w:val="00EC559F"/>
    <w:rsid w:val="00EC6080"/>
    <w:rsid w:val="00EC6177"/>
    <w:rsid w:val="00EC64A2"/>
    <w:rsid w:val="00EC7AB6"/>
    <w:rsid w:val="00EC7B5A"/>
    <w:rsid w:val="00EC7F33"/>
    <w:rsid w:val="00ED0373"/>
    <w:rsid w:val="00ED03F2"/>
    <w:rsid w:val="00ED0D88"/>
    <w:rsid w:val="00ED0EA5"/>
    <w:rsid w:val="00ED21F0"/>
    <w:rsid w:val="00ED2363"/>
    <w:rsid w:val="00ED23F0"/>
    <w:rsid w:val="00ED2B43"/>
    <w:rsid w:val="00ED2DD7"/>
    <w:rsid w:val="00ED2E50"/>
    <w:rsid w:val="00ED32FA"/>
    <w:rsid w:val="00ED388A"/>
    <w:rsid w:val="00ED3FD9"/>
    <w:rsid w:val="00ED443F"/>
    <w:rsid w:val="00ED4A8F"/>
    <w:rsid w:val="00ED4CF2"/>
    <w:rsid w:val="00ED4F35"/>
    <w:rsid w:val="00ED4FC0"/>
    <w:rsid w:val="00ED5038"/>
    <w:rsid w:val="00ED51CA"/>
    <w:rsid w:val="00ED5EDF"/>
    <w:rsid w:val="00ED5EE7"/>
    <w:rsid w:val="00ED7036"/>
    <w:rsid w:val="00ED7FDA"/>
    <w:rsid w:val="00EE0F1C"/>
    <w:rsid w:val="00EE13B4"/>
    <w:rsid w:val="00EE178C"/>
    <w:rsid w:val="00EE17E0"/>
    <w:rsid w:val="00EE19CA"/>
    <w:rsid w:val="00EE2C9A"/>
    <w:rsid w:val="00EE2E29"/>
    <w:rsid w:val="00EE2E76"/>
    <w:rsid w:val="00EE2E9D"/>
    <w:rsid w:val="00EE38EC"/>
    <w:rsid w:val="00EE45B7"/>
    <w:rsid w:val="00EE4E29"/>
    <w:rsid w:val="00EE4F7C"/>
    <w:rsid w:val="00EE5324"/>
    <w:rsid w:val="00EE56B8"/>
    <w:rsid w:val="00EE6185"/>
    <w:rsid w:val="00EE6A3B"/>
    <w:rsid w:val="00EE7B35"/>
    <w:rsid w:val="00EF0013"/>
    <w:rsid w:val="00EF11DE"/>
    <w:rsid w:val="00EF1E42"/>
    <w:rsid w:val="00EF1FA4"/>
    <w:rsid w:val="00EF364A"/>
    <w:rsid w:val="00EF4ABC"/>
    <w:rsid w:val="00EF4FD6"/>
    <w:rsid w:val="00EF5332"/>
    <w:rsid w:val="00EF5959"/>
    <w:rsid w:val="00EF6642"/>
    <w:rsid w:val="00EF7B9F"/>
    <w:rsid w:val="00F00594"/>
    <w:rsid w:val="00F00C13"/>
    <w:rsid w:val="00F00E49"/>
    <w:rsid w:val="00F00ED8"/>
    <w:rsid w:val="00F00F0C"/>
    <w:rsid w:val="00F010FA"/>
    <w:rsid w:val="00F01175"/>
    <w:rsid w:val="00F0160A"/>
    <w:rsid w:val="00F01751"/>
    <w:rsid w:val="00F01C30"/>
    <w:rsid w:val="00F01D2A"/>
    <w:rsid w:val="00F01EF5"/>
    <w:rsid w:val="00F0214A"/>
    <w:rsid w:val="00F02789"/>
    <w:rsid w:val="00F02BB1"/>
    <w:rsid w:val="00F02D4C"/>
    <w:rsid w:val="00F02F01"/>
    <w:rsid w:val="00F02F5C"/>
    <w:rsid w:val="00F03469"/>
    <w:rsid w:val="00F03772"/>
    <w:rsid w:val="00F038FC"/>
    <w:rsid w:val="00F039BC"/>
    <w:rsid w:val="00F03DD4"/>
    <w:rsid w:val="00F03F4B"/>
    <w:rsid w:val="00F040B2"/>
    <w:rsid w:val="00F044B0"/>
    <w:rsid w:val="00F04AA3"/>
    <w:rsid w:val="00F04B5E"/>
    <w:rsid w:val="00F05110"/>
    <w:rsid w:val="00F05161"/>
    <w:rsid w:val="00F05686"/>
    <w:rsid w:val="00F05B3A"/>
    <w:rsid w:val="00F06237"/>
    <w:rsid w:val="00F069C9"/>
    <w:rsid w:val="00F07965"/>
    <w:rsid w:val="00F079CE"/>
    <w:rsid w:val="00F07C23"/>
    <w:rsid w:val="00F07FBE"/>
    <w:rsid w:val="00F1013D"/>
    <w:rsid w:val="00F102AF"/>
    <w:rsid w:val="00F105F4"/>
    <w:rsid w:val="00F10A13"/>
    <w:rsid w:val="00F10F70"/>
    <w:rsid w:val="00F1117D"/>
    <w:rsid w:val="00F11186"/>
    <w:rsid w:val="00F1124D"/>
    <w:rsid w:val="00F11276"/>
    <w:rsid w:val="00F13048"/>
    <w:rsid w:val="00F13118"/>
    <w:rsid w:val="00F13595"/>
    <w:rsid w:val="00F13689"/>
    <w:rsid w:val="00F1373E"/>
    <w:rsid w:val="00F13BA1"/>
    <w:rsid w:val="00F143B4"/>
    <w:rsid w:val="00F149E0"/>
    <w:rsid w:val="00F14C08"/>
    <w:rsid w:val="00F14EE5"/>
    <w:rsid w:val="00F152C9"/>
    <w:rsid w:val="00F15382"/>
    <w:rsid w:val="00F1545D"/>
    <w:rsid w:val="00F172F7"/>
    <w:rsid w:val="00F17620"/>
    <w:rsid w:val="00F20FA0"/>
    <w:rsid w:val="00F22060"/>
    <w:rsid w:val="00F22B5A"/>
    <w:rsid w:val="00F230DB"/>
    <w:rsid w:val="00F237BE"/>
    <w:rsid w:val="00F24336"/>
    <w:rsid w:val="00F24B48"/>
    <w:rsid w:val="00F24B7A"/>
    <w:rsid w:val="00F24F45"/>
    <w:rsid w:val="00F2554F"/>
    <w:rsid w:val="00F255BE"/>
    <w:rsid w:val="00F25CBB"/>
    <w:rsid w:val="00F25E4B"/>
    <w:rsid w:val="00F26067"/>
    <w:rsid w:val="00F26600"/>
    <w:rsid w:val="00F26DBC"/>
    <w:rsid w:val="00F26F87"/>
    <w:rsid w:val="00F27232"/>
    <w:rsid w:val="00F27543"/>
    <w:rsid w:val="00F27841"/>
    <w:rsid w:val="00F3028F"/>
    <w:rsid w:val="00F30DA4"/>
    <w:rsid w:val="00F31B08"/>
    <w:rsid w:val="00F31CA2"/>
    <w:rsid w:val="00F31F35"/>
    <w:rsid w:val="00F324E5"/>
    <w:rsid w:val="00F32704"/>
    <w:rsid w:val="00F33282"/>
    <w:rsid w:val="00F338D3"/>
    <w:rsid w:val="00F33ADD"/>
    <w:rsid w:val="00F33DA4"/>
    <w:rsid w:val="00F345DB"/>
    <w:rsid w:val="00F34A55"/>
    <w:rsid w:val="00F35432"/>
    <w:rsid w:val="00F35873"/>
    <w:rsid w:val="00F35C06"/>
    <w:rsid w:val="00F35DE7"/>
    <w:rsid w:val="00F36537"/>
    <w:rsid w:val="00F3681D"/>
    <w:rsid w:val="00F36E0F"/>
    <w:rsid w:val="00F37739"/>
    <w:rsid w:val="00F37817"/>
    <w:rsid w:val="00F378F1"/>
    <w:rsid w:val="00F4132F"/>
    <w:rsid w:val="00F41F81"/>
    <w:rsid w:val="00F420AE"/>
    <w:rsid w:val="00F4231C"/>
    <w:rsid w:val="00F427D2"/>
    <w:rsid w:val="00F429AB"/>
    <w:rsid w:val="00F42A48"/>
    <w:rsid w:val="00F43003"/>
    <w:rsid w:val="00F435E2"/>
    <w:rsid w:val="00F4454A"/>
    <w:rsid w:val="00F447EF"/>
    <w:rsid w:val="00F44AF5"/>
    <w:rsid w:val="00F44BA3"/>
    <w:rsid w:val="00F450B3"/>
    <w:rsid w:val="00F45965"/>
    <w:rsid w:val="00F4687F"/>
    <w:rsid w:val="00F47064"/>
    <w:rsid w:val="00F478CC"/>
    <w:rsid w:val="00F5027E"/>
    <w:rsid w:val="00F506D7"/>
    <w:rsid w:val="00F50B0C"/>
    <w:rsid w:val="00F51623"/>
    <w:rsid w:val="00F51CFB"/>
    <w:rsid w:val="00F52202"/>
    <w:rsid w:val="00F52523"/>
    <w:rsid w:val="00F52988"/>
    <w:rsid w:val="00F52F7A"/>
    <w:rsid w:val="00F53A0F"/>
    <w:rsid w:val="00F54242"/>
    <w:rsid w:val="00F54426"/>
    <w:rsid w:val="00F54732"/>
    <w:rsid w:val="00F547B1"/>
    <w:rsid w:val="00F54F13"/>
    <w:rsid w:val="00F556B4"/>
    <w:rsid w:val="00F559A8"/>
    <w:rsid w:val="00F566A9"/>
    <w:rsid w:val="00F566B6"/>
    <w:rsid w:val="00F579C8"/>
    <w:rsid w:val="00F57C23"/>
    <w:rsid w:val="00F57FD8"/>
    <w:rsid w:val="00F60344"/>
    <w:rsid w:val="00F60A1B"/>
    <w:rsid w:val="00F623BF"/>
    <w:rsid w:val="00F629BE"/>
    <w:rsid w:val="00F62B47"/>
    <w:rsid w:val="00F62BDE"/>
    <w:rsid w:val="00F632B1"/>
    <w:rsid w:val="00F633AA"/>
    <w:rsid w:val="00F633D9"/>
    <w:rsid w:val="00F635B2"/>
    <w:rsid w:val="00F64AF7"/>
    <w:rsid w:val="00F651A5"/>
    <w:rsid w:val="00F657A3"/>
    <w:rsid w:val="00F6689A"/>
    <w:rsid w:val="00F66FCC"/>
    <w:rsid w:val="00F6705A"/>
    <w:rsid w:val="00F674B5"/>
    <w:rsid w:val="00F70057"/>
    <w:rsid w:val="00F70804"/>
    <w:rsid w:val="00F70AF2"/>
    <w:rsid w:val="00F70E41"/>
    <w:rsid w:val="00F7100F"/>
    <w:rsid w:val="00F7287C"/>
    <w:rsid w:val="00F738EF"/>
    <w:rsid w:val="00F74228"/>
    <w:rsid w:val="00F74280"/>
    <w:rsid w:val="00F74E0D"/>
    <w:rsid w:val="00F759B2"/>
    <w:rsid w:val="00F76542"/>
    <w:rsid w:val="00F7656F"/>
    <w:rsid w:val="00F76936"/>
    <w:rsid w:val="00F76FF5"/>
    <w:rsid w:val="00F77140"/>
    <w:rsid w:val="00F771EC"/>
    <w:rsid w:val="00F77308"/>
    <w:rsid w:val="00F77AD5"/>
    <w:rsid w:val="00F77F53"/>
    <w:rsid w:val="00F800D5"/>
    <w:rsid w:val="00F80EFB"/>
    <w:rsid w:val="00F81591"/>
    <w:rsid w:val="00F81EEA"/>
    <w:rsid w:val="00F82FAB"/>
    <w:rsid w:val="00F83FAD"/>
    <w:rsid w:val="00F847C4"/>
    <w:rsid w:val="00F8483B"/>
    <w:rsid w:val="00F8498A"/>
    <w:rsid w:val="00F849D2"/>
    <w:rsid w:val="00F855A2"/>
    <w:rsid w:val="00F85759"/>
    <w:rsid w:val="00F85D20"/>
    <w:rsid w:val="00F85F4B"/>
    <w:rsid w:val="00F86211"/>
    <w:rsid w:val="00F86232"/>
    <w:rsid w:val="00F86707"/>
    <w:rsid w:val="00F871D0"/>
    <w:rsid w:val="00F874B2"/>
    <w:rsid w:val="00F87577"/>
    <w:rsid w:val="00F90A39"/>
    <w:rsid w:val="00F9148C"/>
    <w:rsid w:val="00F91934"/>
    <w:rsid w:val="00F91A5A"/>
    <w:rsid w:val="00F91D51"/>
    <w:rsid w:val="00F92E66"/>
    <w:rsid w:val="00F93098"/>
    <w:rsid w:val="00F9310C"/>
    <w:rsid w:val="00F932E8"/>
    <w:rsid w:val="00F93511"/>
    <w:rsid w:val="00F936BF"/>
    <w:rsid w:val="00F93927"/>
    <w:rsid w:val="00F951EC"/>
    <w:rsid w:val="00F95445"/>
    <w:rsid w:val="00F96E88"/>
    <w:rsid w:val="00F96F21"/>
    <w:rsid w:val="00F973CD"/>
    <w:rsid w:val="00FA0687"/>
    <w:rsid w:val="00FA0C2D"/>
    <w:rsid w:val="00FA2BC8"/>
    <w:rsid w:val="00FA334A"/>
    <w:rsid w:val="00FA3A96"/>
    <w:rsid w:val="00FA3B10"/>
    <w:rsid w:val="00FA43DB"/>
    <w:rsid w:val="00FA456B"/>
    <w:rsid w:val="00FA672A"/>
    <w:rsid w:val="00FA705D"/>
    <w:rsid w:val="00FA74BD"/>
    <w:rsid w:val="00FA79A2"/>
    <w:rsid w:val="00FA7BB9"/>
    <w:rsid w:val="00FB0D37"/>
    <w:rsid w:val="00FB0EE8"/>
    <w:rsid w:val="00FB0F46"/>
    <w:rsid w:val="00FB1720"/>
    <w:rsid w:val="00FB186D"/>
    <w:rsid w:val="00FB1A30"/>
    <w:rsid w:val="00FB1C32"/>
    <w:rsid w:val="00FB1D83"/>
    <w:rsid w:val="00FB256B"/>
    <w:rsid w:val="00FB33DD"/>
    <w:rsid w:val="00FB42D2"/>
    <w:rsid w:val="00FB4680"/>
    <w:rsid w:val="00FB4A13"/>
    <w:rsid w:val="00FB5353"/>
    <w:rsid w:val="00FB65B4"/>
    <w:rsid w:val="00FB68EB"/>
    <w:rsid w:val="00FB6E27"/>
    <w:rsid w:val="00FB7013"/>
    <w:rsid w:val="00FC03BC"/>
    <w:rsid w:val="00FC049F"/>
    <w:rsid w:val="00FC0843"/>
    <w:rsid w:val="00FC0920"/>
    <w:rsid w:val="00FC0E4A"/>
    <w:rsid w:val="00FC1DCB"/>
    <w:rsid w:val="00FC1DFF"/>
    <w:rsid w:val="00FC1E61"/>
    <w:rsid w:val="00FC2247"/>
    <w:rsid w:val="00FC244C"/>
    <w:rsid w:val="00FC2841"/>
    <w:rsid w:val="00FC2949"/>
    <w:rsid w:val="00FC2A0F"/>
    <w:rsid w:val="00FC31A3"/>
    <w:rsid w:val="00FC3355"/>
    <w:rsid w:val="00FC338B"/>
    <w:rsid w:val="00FC41F4"/>
    <w:rsid w:val="00FC42EF"/>
    <w:rsid w:val="00FC443D"/>
    <w:rsid w:val="00FC499E"/>
    <w:rsid w:val="00FC49E0"/>
    <w:rsid w:val="00FC5EBB"/>
    <w:rsid w:val="00FC62F1"/>
    <w:rsid w:val="00FC686A"/>
    <w:rsid w:val="00FC6BAF"/>
    <w:rsid w:val="00FC701F"/>
    <w:rsid w:val="00FC741F"/>
    <w:rsid w:val="00FC7F30"/>
    <w:rsid w:val="00FD0428"/>
    <w:rsid w:val="00FD0818"/>
    <w:rsid w:val="00FD0990"/>
    <w:rsid w:val="00FD0AE3"/>
    <w:rsid w:val="00FD1821"/>
    <w:rsid w:val="00FD1860"/>
    <w:rsid w:val="00FD2958"/>
    <w:rsid w:val="00FD31D1"/>
    <w:rsid w:val="00FD39D3"/>
    <w:rsid w:val="00FD40C3"/>
    <w:rsid w:val="00FD43AF"/>
    <w:rsid w:val="00FD4D2C"/>
    <w:rsid w:val="00FD567C"/>
    <w:rsid w:val="00FD6D0A"/>
    <w:rsid w:val="00FD73F3"/>
    <w:rsid w:val="00FD75FB"/>
    <w:rsid w:val="00FD7758"/>
    <w:rsid w:val="00FD7847"/>
    <w:rsid w:val="00FD7C8B"/>
    <w:rsid w:val="00FE04DC"/>
    <w:rsid w:val="00FE0B48"/>
    <w:rsid w:val="00FE161C"/>
    <w:rsid w:val="00FE2511"/>
    <w:rsid w:val="00FE2590"/>
    <w:rsid w:val="00FE3369"/>
    <w:rsid w:val="00FE3796"/>
    <w:rsid w:val="00FE39D6"/>
    <w:rsid w:val="00FE3B46"/>
    <w:rsid w:val="00FE4216"/>
    <w:rsid w:val="00FE4879"/>
    <w:rsid w:val="00FE497B"/>
    <w:rsid w:val="00FE4B7C"/>
    <w:rsid w:val="00FE5263"/>
    <w:rsid w:val="00FE52CB"/>
    <w:rsid w:val="00FE5358"/>
    <w:rsid w:val="00FE536A"/>
    <w:rsid w:val="00FE5B4E"/>
    <w:rsid w:val="00FE6520"/>
    <w:rsid w:val="00FE7505"/>
    <w:rsid w:val="00FE7715"/>
    <w:rsid w:val="00FE7767"/>
    <w:rsid w:val="00FE7891"/>
    <w:rsid w:val="00FF03A8"/>
    <w:rsid w:val="00FF0692"/>
    <w:rsid w:val="00FF06E1"/>
    <w:rsid w:val="00FF0AAB"/>
    <w:rsid w:val="00FF0D45"/>
    <w:rsid w:val="00FF0F2D"/>
    <w:rsid w:val="00FF11E2"/>
    <w:rsid w:val="00FF1CB8"/>
    <w:rsid w:val="00FF26E4"/>
    <w:rsid w:val="00FF2ED6"/>
    <w:rsid w:val="00FF34CF"/>
    <w:rsid w:val="00FF3CBC"/>
    <w:rsid w:val="00FF4253"/>
    <w:rsid w:val="00FF52FC"/>
    <w:rsid w:val="00FF54FB"/>
    <w:rsid w:val="00FF5A30"/>
    <w:rsid w:val="00FF5B6A"/>
    <w:rsid w:val="00FF5D8A"/>
    <w:rsid w:val="00FF6C87"/>
    <w:rsid w:val="00FF7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8F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829"/>
    <w:pPr>
      <w:spacing w:after="260" w:line="260" w:lineRule="atLeast"/>
    </w:pPr>
    <w:rPr>
      <w:rFonts w:ascii="Foundry Sans" w:hAnsi="Foundry Sans"/>
      <w:sz w:val="22"/>
      <w:szCs w:val="24"/>
      <w:lang w:eastAsia="en-US"/>
    </w:rPr>
  </w:style>
  <w:style w:type="paragraph" w:styleId="Heading1">
    <w:name w:val="heading 1"/>
    <w:basedOn w:val="Normal"/>
    <w:next w:val="Normal"/>
    <w:qFormat/>
    <w:rsid w:val="004B24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819B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9B7"/>
    <w:rPr>
      <w:rFonts w:ascii="Arial" w:hAnsi="Arial" w:cs="Arial"/>
      <w:b/>
      <w:bCs/>
      <w:i/>
      <w:iCs/>
      <w:sz w:val="28"/>
      <w:szCs w:val="28"/>
      <w:lang w:eastAsia="en-US"/>
    </w:rPr>
  </w:style>
  <w:style w:type="table" w:styleId="TableGrid">
    <w:name w:val="Table Grid"/>
    <w:basedOn w:val="TableNormal"/>
    <w:rsid w:val="00F82FAB"/>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1C367B"/>
    <w:pPr>
      <w:spacing w:after="80" w:line="300" w:lineRule="atLeast"/>
    </w:pPr>
    <w:rPr>
      <w:sz w:val="18"/>
    </w:rPr>
  </w:style>
  <w:style w:type="paragraph" w:customStyle="1" w:styleId="TitleHeading">
    <w:name w:val="TitleHeading"/>
    <w:basedOn w:val="Normal"/>
    <w:rsid w:val="006F0DAF"/>
    <w:pPr>
      <w:spacing w:before="20" w:after="0" w:line="420" w:lineRule="atLeast"/>
    </w:pPr>
    <w:rPr>
      <w:b/>
      <w:sz w:val="34"/>
    </w:rPr>
  </w:style>
  <w:style w:type="paragraph" w:customStyle="1" w:styleId="TitleNo">
    <w:name w:val="TitleNo"/>
    <w:basedOn w:val="Normal"/>
    <w:rsid w:val="006F0DAF"/>
    <w:pPr>
      <w:spacing w:after="0" w:line="840" w:lineRule="atLeast"/>
      <w:jc w:val="right"/>
    </w:pPr>
    <w:rPr>
      <w:b/>
      <w:sz w:val="90"/>
    </w:rPr>
  </w:style>
  <w:style w:type="paragraph" w:customStyle="1" w:styleId="TitleMeeting">
    <w:name w:val="TitleMeeting"/>
    <w:basedOn w:val="Normal"/>
    <w:rsid w:val="0045427A"/>
    <w:pPr>
      <w:spacing w:after="0" w:line="310" w:lineRule="atLeast"/>
    </w:pPr>
    <w:rPr>
      <w:sz w:val="26"/>
    </w:rPr>
  </w:style>
  <w:style w:type="paragraph" w:customStyle="1" w:styleId="TitleText">
    <w:name w:val="TitleText"/>
    <w:basedOn w:val="Normal"/>
    <w:rsid w:val="0045427A"/>
    <w:pPr>
      <w:spacing w:after="0"/>
    </w:pPr>
  </w:style>
  <w:style w:type="paragraph" w:customStyle="1" w:styleId="TitleTextSm">
    <w:name w:val="TitleTextSm"/>
    <w:basedOn w:val="Normal"/>
    <w:rsid w:val="00E36F1B"/>
    <w:pPr>
      <w:spacing w:after="120" w:line="240" w:lineRule="atLeast"/>
    </w:pPr>
    <w:rPr>
      <w:sz w:val="18"/>
    </w:rPr>
  </w:style>
  <w:style w:type="paragraph" w:customStyle="1" w:styleId="NormalSm">
    <w:name w:val="NormalSm"/>
    <w:basedOn w:val="Normal"/>
    <w:uiPriority w:val="99"/>
    <w:rsid w:val="006F0DAF"/>
  </w:style>
  <w:style w:type="paragraph" w:customStyle="1" w:styleId="HeadingSm">
    <w:name w:val="HeadingSm"/>
    <w:basedOn w:val="NormalSm"/>
    <w:next w:val="NormalSm"/>
    <w:rsid w:val="0057490F"/>
    <w:pPr>
      <w:keepNext/>
      <w:spacing w:after="0"/>
    </w:pPr>
    <w:rPr>
      <w:b/>
    </w:rPr>
  </w:style>
  <w:style w:type="paragraph" w:customStyle="1" w:styleId="Heading">
    <w:name w:val="Heading"/>
    <w:basedOn w:val="Normal"/>
    <w:next w:val="Normal"/>
    <w:rsid w:val="006F0DAF"/>
    <w:pPr>
      <w:keepNext/>
      <w:spacing w:after="0"/>
    </w:pPr>
    <w:rPr>
      <w:b/>
      <w:sz w:val="26"/>
    </w:rPr>
  </w:style>
  <w:style w:type="paragraph" w:customStyle="1" w:styleId="NormalSmNoSpace">
    <w:name w:val="NormalSmNoSpace"/>
    <w:basedOn w:val="NormalSm"/>
    <w:rsid w:val="00113F87"/>
    <w:pPr>
      <w:spacing w:after="0"/>
    </w:pPr>
  </w:style>
  <w:style w:type="paragraph" w:customStyle="1" w:styleId="NormalNoSpace">
    <w:name w:val="NormalNoSpace"/>
    <w:basedOn w:val="Normal"/>
    <w:rsid w:val="00113F87"/>
    <w:pPr>
      <w:spacing w:after="0"/>
    </w:pPr>
  </w:style>
  <w:style w:type="paragraph" w:customStyle="1" w:styleId="NumbList">
    <w:name w:val="NumbList"/>
    <w:basedOn w:val="Normal"/>
    <w:link w:val="NumbListChar"/>
    <w:rsid w:val="00EC52B7"/>
    <w:pPr>
      <w:numPr>
        <w:numId w:val="1"/>
      </w:numPr>
    </w:pPr>
  </w:style>
  <w:style w:type="character" w:customStyle="1" w:styleId="NumbListChar">
    <w:name w:val="NumbList Char"/>
    <w:link w:val="NumbList"/>
    <w:locked/>
    <w:rsid w:val="008819B7"/>
    <w:rPr>
      <w:rFonts w:ascii="Foundry Sans" w:hAnsi="Foundry Sans"/>
      <w:sz w:val="22"/>
      <w:szCs w:val="24"/>
      <w:lang w:eastAsia="en-US"/>
    </w:rPr>
  </w:style>
  <w:style w:type="paragraph" w:customStyle="1" w:styleId="Bullet">
    <w:name w:val="Bullet"/>
    <w:basedOn w:val="Normal"/>
    <w:rsid w:val="00EC52B7"/>
    <w:pPr>
      <w:numPr>
        <w:numId w:val="2"/>
      </w:numPr>
      <w:spacing w:after="0"/>
    </w:pPr>
  </w:style>
  <w:style w:type="paragraph" w:customStyle="1" w:styleId="SubHeading">
    <w:name w:val="SubHeading"/>
    <w:basedOn w:val="Heading"/>
    <w:rsid w:val="006F0DAF"/>
    <w:rPr>
      <w:sz w:val="22"/>
    </w:rPr>
  </w:style>
  <w:style w:type="paragraph" w:styleId="Header">
    <w:name w:val="header"/>
    <w:basedOn w:val="Normal"/>
    <w:link w:val="HeaderChar"/>
    <w:rsid w:val="003A58BF"/>
    <w:pPr>
      <w:tabs>
        <w:tab w:val="center" w:pos="4320"/>
        <w:tab w:val="right" w:pos="8640"/>
      </w:tabs>
    </w:pPr>
  </w:style>
  <w:style w:type="character" w:customStyle="1" w:styleId="HeaderChar">
    <w:name w:val="Header Char"/>
    <w:basedOn w:val="DefaultParagraphFont"/>
    <w:link w:val="Header"/>
    <w:rsid w:val="00A940BB"/>
    <w:rPr>
      <w:rFonts w:ascii="Foundry Sans" w:hAnsi="Foundry Sans"/>
      <w:sz w:val="22"/>
      <w:szCs w:val="24"/>
      <w:lang w:eastAsia="en-US"/>
    </w:rPr>
  </w:style>
  <w:style w:type="paragraph" w:styleId="Footer">
    <w:name w:val="footer"/>
    <w:basedOn w:val="Normal"/>
    <w:link w:val="FooterChar"/>
    <w:rsid w:val="00E01183"/>
    <w:pPr>
      <w:tabs>
        <w:tab w:val="right" w:pos="9639"/>
      </w:tabs>
      <w:spacing w:after="0"/>
    </w:pPr>
    <w:rPr>
      <w:color w:val="808080"/>
      <w:sz w:val="20"/>
    </w:rPr>
  </w:style>
  <w:style w:type="character" w:customStyle="1" w:styleId="FooterChar">
    <w:name w:val="Footer Char"/>
    <w:basedOn w:val="DefaultParagraphFont"/>
    <w:link w:val="Footer"/>
    <w:rsid w:val="00DC7023"/>
    <w:rPr>
      <w:rFonts w:ascii="Foundry Sans" w:hAnsi="Foundry Sans"/>
      <w:color w:val="808080"/>
      <w:szCs w:val="24"/>
      <w:lang w:eastAsia="en-US"/>
    </w:rPr>
  </w:style>
  <w:style w:type="paragraph" w:customStyle="1" w:styleId="BulletLast">
    <w:name w:val="BulletLast"/>
    <w:basedOn w:val="Bullet"/>
    <w:rsid w:val="0006235D"/>
    <w:pPr>
      <w:spacing w:after="260"/>
    </w:pPr>
  </w:style>
  <w:style w:type="paragraph" w:customStyle="1" w:styleId="NumbListNoSpace">
    <w:name w:val="NumbListNoSpace"/>
    <w:basedOn w:val="NumbList"/>
    <w:rsid w:val="00EC52B7"/>
    <w:pPr>
      <w:spacing w:after="0"/>
    </w:pPr>
  </w:style>
  <w:style w:type="paragraph" w:customStyle="1" w:styleId="NormalIndent">
    <w:name w:val="NormalIndent"/>
    <w:basedOn w:val="Normal"/>
    <w:rsid w:val="00EC52B7"/>
    <w:pPr>
      <w:ind w:left="340"/>
    </w:pPr>
    <w:rPr>
      <w:szCs w:val="20"/>
    </w:rPr>
  </w:style>
  <w:style w:type="character" w:styleId="FollowedHyperlink">
    <w:name w:val="FollowedHyperlink"/>
    <w:basedOn w:val="DefaultParagraphFont"/>
    <w:uiPriority w:val="99"/>
    <w:rsid w:val="00184F0C"/>
    <w:rPr>
      <w:color w:val="800080"/>
      <w:u w:val="single"/>
    </w:rPr>
  </w:style>
  <w:style w:type="paragraph" w:styleId="BalloonText">
    <w:name w:val="Balloon Text"/>
    <w:basedOn w:val="Normal"/>
    <w:link w:val="BalloonTextChar"/>
    <w:uiPriority w:val="99"/>
    <w:rsid w:val="00DE4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4536"/>
    <w:rPr>
      <w:rFonts w:ascii="Tahoma" w:hAnsi="Tahoma" w:cs="Tahoma"/>
      <w:sz w:val="16"/>
      <w:szCs w:val="16"/>
      <w:lang w:eastAsia="en-US"/>
    </w:rPr>
  </w:style>
  <w:style w:type="paragraph" w:styleId="ListParagraph">
    <w:name w:val="List Paragraph"/>
    <w:basedOn w:val="Normal"/>
    <w:link w:val="ListParagraphChar"/>
    <w:uiPriority w:val="34"/>
    <w:qFormat/>
    <w:rsid w:val="00151719"/>
    <w:pPr>
      <w:ind w:left="720"/>
      <w:contextualSpacing/>
    </w:pPr>
  </w:style>
  <w:style w:type="paragraph" w:styleId="BodyText">
    <w:name w:val="Body Text"/>
    <w:basedOn w:val="Normal"/>
    <w:link w:val="BodyTextChar"/>
    <w:rsid w:val="008819B7"/>
    <w:pPr>
      <w:spacing w:after="160" w:line="280" w:lineRule="atLeast"/>
    </w:pPr>
    <w:rPr>
      <w:szCs w:val="20"/>
      <w:lang w:eastAsia="en-GB"/>
    </w:rPr>
  </w:style>
  <w:style w:type="character" w:customStyle="1" w:styleId="BodyTextChar">
    <w:name w:val="Body Text Char"/>
    <w:basedOn w:val="DefaultParagraphFont"/>
    <w:link w:val="BodyText"/>
    <w:rsid w:val="008819B7"/>
    <w:rPr>
      <w:rFonts w:ascii="Foundry Sans" w:hAnsi="Foundry Sans"/>
      <w:sz w:val="22"/>
    </w:rPr>
  </w:style>
  <w:style w:type="paragraph" w:customStyle="1" w:styleId="Style1">
    <w:name w:val="Style1"/>
    <w:basedOn w:val="Normal"/>
    <w:rsid w:val="008819B7"/>
    <w:pPr>
      <w:spacing w:after="0" w:line="240" w:lineRule="auto"/>
    </w:pPr>
    <w:rPr>
      <w:rFonts w:ascii="Arial" w:hAnsi="Arial"/>
      <w:szCs w:val="20"/>
    </w:rPr>
  </w:style>
  <w:style w:type="paragraph" w:customStyle="1" w:styleId="numblist0">
    <w:name w:val="numblist"/>
    <w:basedOn w:val="Normal"/>
    <w:rsid w:val="008819B7"/>
    <w:pPr>
      <w:tabs>
        <w:tab w:val="num" w:pos="284"/>
      </w:tabs>
      <w:ind w:left="284" w:hanging="284"/>
    </w:pPr>
    <w:rPr>
      <w:szCs w:val="22"/>
      <w:lang w:eastAsia="en-GB"/>
    </w:rPr>
  </w:style>
  <w:style w:type="character" w:styleId="PageNumber">
    <w:name w:val="page number"/>
    <w:basedOn w:val="DefaultParagraphFont"/>
    <w:rsid w:val="008819B7"/>
  </w:style>
  <w:style w:type="character" w:styleId="Hyperlink">
    <w:name w:val="Hyperlink"/>
    <w:uiPriority w:val="99"/>
    <w:rsid w:val="008819B7"/>
    <w:rPr>
      <w:color w:val="0000FF"/>
      <w:u w:val="single"/>
    </w:rPr>
  </w:style>
  <w:style w:type="paragraph" w:customStyle="1" w:styleId="msolistparagraph0">
    <w:name w:val="msolistparagraph"/>
    <w:basedOn w:val="Normal"/>
    <w:rsid w:val="008819B7"/>
    <w:pPr>
      <w:spacing w:after="0" w:line="240" w:lineRule="auto"/>
      <w:ind w:left="720"/>
    </w:pPr>
    <w:rPr>
      <w:rFonts w:ascii="Calibri" w:hAnsi="Calibri"/>
      <w:szCs w:val="22"/>
    </w:rPr>
  </w:style>
  <w:style w:type="paragraph" w:styleId="NormalWeb">
    <w:name w:val="Normal (Web)"/>
    <w:basedOn w:val="Normal"/>
    <w:uiPriority w:val="99"/>
    <w:rsid w:val="008819B7"/>
    <w:pPr>
      <w:spacing w:before="100" w:beforeAutospacing="1" w:after="100" w:afterAutospacing="1" w:line="240" w:lineRule="auto"/>
    </w:pPr>
    <w:rPr>
      <w:rFonts w:ascii="Verdana" w:hAnsi="Verdana"/>
      <w:color w:val="000000"/>
      <w:sz w:val="18"/>
      <w:szCs w:val="18"/>
      <w:lang w:eastAsia="en-GB"/>
    </w:rPr>
  </w:style>
  <w:style w:type="character" w:customStyle="1" w:styleId="CharChar">
    <w:name w:val="Char Char"/>
    <w:locked/>
    <w:rsid w:val="008819B7"/>
    <w:rPr>
      <w:rFonts w:ascii="Foundry Sans" w:hAnsi="Foundry Sans"/>
      <w:sz w:val="22"/>
      <w:lang w:val="en-GB" w:eastAsia="en-GB" w:bidi="ar-SA"/>
    </w:rPr>
  </w:style>
  <w:style w:type="character" w:customStyle="1" w:styleId="CharChar1">
    <w:name w:val="Char Char1"/>
    <w:locked/>
    <w:rsid w:val="008819B7"/>
    <w:rPr>
      <w:rFonts w:ascii="Foundry Sans" w:hAnsi="Foundry Sans"/>
      <w:sz w:val="22"/>
      <w:lang w:val="en-GB" w:eastAsia="en-GB" w:bidi="ar-SA"/>
    </w:rPr>
  </w:style>
  <w:style w:type="paragraph" w:customStyle="1" w:styleId="xl111">
    <w:name w:val="xl11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2">
    <w:name w:val="xl112"/>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13">
    <w:name w:val="xl113"/>
    <w:basedOn w:val="Normal"/>
    <w:rsid w:val="008819B7"/>
    <w:pPr>
      <w:spacing w:before="100" w:beforeAutospacing="1" w:after="100" w:afterAutospacing="1" w:line="240" w:lineRule="auto"/>
    </w:pPr>
    <w:rPr>
      <w:sz w:val="16"/>
      <w:szCs w:val="16"/>
      <w:lang w:eastAsia="en-GB" w:bidi="bn-BD"/>
    </w:rPr>
  </w:style>
  <w:style w:type="paragraph" w:customStyle="1" w:styleId="xl114">
    <w:name w:val="xl114"/>
    <w:basedOn w:val="Normal"/>
    <w:rsid w:val="008819B7"/>
    <w:pPr>
      <w:spacing w:before="100" w:beforeAutospacing="1" w:after="100" w:afterAutospacing="1" w:line="240" w:lineRule="auto"/>
    </w:pPr>
    <w:rPr>
      <w:sz w:val="16"/>
      <w:szCs w:val="16"/>
      <w:lang w:eastAsia="en-GB" w:bidi="bn-BD"/>
    </w:rPr>
  </w:style>
  <w:style w:type="paragraph" w:customStyle="1" w:styleId="xl115">
    <w:name w:val="xl1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6">
    <w:name w:val="xl11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7">
    <w:name w:val="xl1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8">
    <w:name w:val="xl11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9">
    <w:name w:val="xl11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0">
    <w:name w:val="xl12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1">
    <w:name w:val="xl121"/>
    <w:basedOn w:val="Normal"/>
    <w:rsid w:val="008819B7"/>
    <w:pPr>
      <w:spacing w:before="100" w:beforeAutospacing="1" w:after="100" w:afterAutospacing="1" w:line="240" w:lineRule="auto"/>
    </w:pPr>
    <w:rPr>
      <w:sz w:val="16"/>
      <w:szCs w:val="16"/>
      <w:lang w:eastAsia="en-GB" w:bidi="bn-BD"/>
    </w:rPr>
  </w:style>
  <w:style w:type="paragraph" w:customStyle="1" w:styleId="xl122">
    <w:name w:val="xl122"/>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3">
    <w:name w:val="xl123"/>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4">
    <w:name w:val="xl124"/>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5">
    <w:name w:val="xl12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6">
    <w:name w:val="xl126"/>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7">
    <w:name w:val="xl127"/>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8">
    <w:name w:val="xl128"/>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9">
    <w:name w:val="xl129"/>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0">
    <w:name w:val="xl130"/>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1">
    <w:name w:val="xl131"/>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2">
    <w:name w:val="xl132"/>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3">
    <w:name w:val="xl133"/>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character" w:styleId="CommentReference">
    <w:name w:val="annotation reference"/>
    <w:uiPriority w:val="99"/>
    <w:rsid w:val="008819B7"/>
    <w:rPr>
      <w:sz w:val="16"/>
      <w:szCs w:val="16"/>
    </w:rPr>
  </w:style>
  <w:style w:type="paragraph" w:styleId="CommentText">
    <w:name w:val="annotation text"/>
    <w:basedOn w:val="Normal"/>
    <w:link w:val="CommentTextChar"/>
    <w:uiPriority w:val="99"/>
    <w:rsid w:val="008819B7"/>
    <w:rPr>
      <w:sz w:val="20"/>
      <w:szCs w:val="20"/>
    </w:rPr>
  </w:style>
  <w:style w:type="character" w:customStyle="1" w:styleId="CommentTextChar">
    <w:name w:val="Comment Text Char"/>
    <w:basedOn w:val="DefaultParagraphFont"/>
    <w:link w:val="CommentText"/>
    <w:uiPriority w:val="99"/>
    <w:rsid w:val="008819B7"/>
    <w:rPr>
      <w:rFonts w:ascii="Foundry Sans" w:hAnsi="Foundry Sans"/>
      <w:lang w:eastAsia="en-US"/>
    </w:rPr>
  </w:style>
  <w:style w:type="paragraph" w:styleId="CommentSubject">
    <w:name w:val="annotation subject"/>
    <w:basedOn w:val="CommentText"/>
    <w:next w:val="CommentText"/>
    <w:link w:val="CommentSubjectChar"/>
    <w:rsid w:val="008819B7"/>
    <w:rPr>
      <w:b/>
      <w:bCs/>
    </w:rPr>
  </w:style>
  <w:style w:type="character" w:customStyle="1" w:styleId="CommentSubjectChar">
    <w:name w:val="Comment Subject Char"/>
    <w:basedOn w:val="CommentTextChar"/>
    <w:link w:val="CommentSubject"/>
    <w:rsid w:val="008819B7"/>
    <w:rPr>
      <w:rFonts w:ascii="Foundry Sans" w:hAnsi="Foundry Sans"/>
      <w:b/>
      <w:bCs/>
      <w:lang w:eastAsia="en-US"/>
    </w:rPr>
  </w:style>
  <w:style w:type="paragraph" w:styleId="FootnoteText">
    <w:name w:val="footnote text"/>
    <w:basedOn w:val="Normal"/>
    <w:link w:val="FootnoteTextChar"/>
    <w:rsid w:val="008819B7"/>
    <w:rPr>
      <w:sz w:val="20"/>
      <w:szCs w:val="20"/>
    </w:rPr>
  </w:style>
  <w:style w:type="character" w:customStyle="1" w:styleId="FootnoteTextChar">
    <w:name w:val="Footnote Text Char"/>
    <w:basedOn w:val="DefaultParagraphFont"/>
    <w:link w:val="FootnoteText"/>
    <w:rsid w:val="008819B7"/>
    <w:rPr>
      <w:rFonts w:ascii="Foundry Sans" w:hAnsi="Foundry Sans"/>
      <w:lang w:eastAsia="en-US"/>
    </w:rPr>
  </w:style>
  <w:style w:type="character" w:styleId="FootnoteReference">
    <w:name w:val="footnote reference"/>
    <w:rsid w:val="008819B7"/>
    <w:rPr>
      <w:vertAlign w:val="superscript"/>
    </w:rPr>
  </w:style>
  <w:style w:type="character" w:customStyle="1" w:styleId="ae1a04ca777794c43a5821e64b3185fa21702">
    <w:name w:val="ae1a04ca777794c43a5821e64b3185fa2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62">
    <w:name w:val="a72a148d2d3ce46ba876afa6419191ff1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22">
    <w:name w:val="a72a148d2d3ce46ba876afa6419191ff1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702">
    <w:name w:val="a09ec1ce20b2341c3a24b5dd2d6cd355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982">
    <w:name w:val="a09ec1ce20b2341c3a24b5dd2d6cd355b98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022">
    <w:name w:val="a09ec1ce20b2341c3a24b5dd2d6cd355b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9934f2c551e4dd4a1b76236ef9e812c1022">
    <w:name w:val="ab9934f2c551e4dd4a1b76236ef9e812c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702">
    <w:name w:val="a0b036a7e00a34080811e2bdc3430407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102">
    <w:name w:val="a0b036a7e00a34080811e2bdc3430407b11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062">
    <w:name w:val="a0b036a7e00a34080811e2bdc3430407b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702">
    <w:name w:val="abae1d5e058b14924a947fa6a54dd8bc3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022">
    <w:name w:val="abae1d5e058b14924a947fa6a54dd8bc3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f1f282a2bdf04c85aebfed3934b86bd41062">
    <w:name w:val="af1f282a2bdf04c85aebfed3934b86bd4106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Default">
    <w:name w:val="Default"/>
    <w:rsid w:val="008819B7"/>
    <w:pPr>
      <w:autoSpaceDE w:val="0"/>
      <w:autoSpaceDN w:val="0"/>
      <w:adjustRightInd w:val="0"/>
    </w:pPr>
    <w:rPr>
      <w:rFonts w:ascii="Foundry Sans" w:hAnsi="Foundry Sans" w:cs="Foundry Sans"/>
      <w:color w:val="000000"/>
      <w:sz w:val="24"/>
      <w:szCs w:val="24"/>
    </w:rPr>
  </w:style>
  <w:style w:type="paragraph" w:customStyle="1" w:styleId="xl898">
    <w:name w:val="xl898"/>
    <w:basedOn w:val="Normal"/>
    <w:rsid w:val="008819B7"/>
    <w:pPr>
      <w:spacing w:before="100" w:beforeAutospacing="1" w:after="100" w:afterAutospacing="1" w:line="240" w:lineRule="auto"/>
    </w:pPr>
    <w:rPr>
      <w:sz w:val="16"/>
      <w:szCs w:val="16"/>
      <w:lang w:eastAsia="en-GB"/>
    </w:rPr>
  </w:style>
  <w:style w:type="paragraph" w:customStyle="1" w:styleId="xl899">
    <w:name w:val="xl89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00">
    <w:name w:val="xl900"/>
    <w:basedOn w:val="Normal"/>
    <w:rsid w:val="008819B7"/>
    <w:pPr>
      <w:spacing w:before="100" w:beforeAutospacing="1" w:after="100" w:afterAutospacing="1" w:line="240" w:lineRule="auto"/>
    </w:pPr>
    <w:rPr>
      <w:sz w:val="16"/>
      <w:szCs w:val="16"/>
      <w:lang w:eastAsia="en-GB"/>
    </w:rPr>
  </w:style>
  <w:style w:type="paragraph" w:customStyle="1" w:styleId="xl901">
    <w:name w:val="xl901"/>
    <w:basedOn w:val="Normal"/>
    <w:rsid w:val="008819B7"/>
    <w:pPr>
      <w:spacing w:before="100" w:beforeAutospacing="1" w:after="100" w:afterAutospacing="1" w:line="240" w:lineRule="auto"/>
    </w:pPr>
    <w:rPr>
      <w:b/>
      <w:bCs/>
      <w:sz w:val="16"/>
      <w:szCs w:val="16"/>
      <w:lang w:eastAsia="en-GB"/>
    </w:rPr>
  </w:style>
  <w:style w:type="paragraph" w:customStyle="1" w:styleId="xl902">
    <w:name w:val="xl902"/>
    <w:basedOn w:val="Normal"/>
    <w:rsid w:val="008819B7"/>
    <w:pPr>
      <w:spacing w:before="100" w:beforeAutospacing="1" w:after="100" w:afterAutospacing="1" w:line="240" w:lineRule="auto"/>
    </w:pPr>
    <w:rPr>
      <w:sz w:val="16"/>
      <w:szCs w:val="16"/>
      <w:lang w:eastAsia="en-GB"/>
    </w:rPr>
  </w:style>
  <w:style w:type="paragraph" w:customStyle="1" w:styleId="xl903">
    <w:name w:val="xl903"/>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04">
    <w:name w:val="xl90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5">
    <w:name w:val="xl90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6">
    <w:name w:val="xl90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7">
    <w:name w:val="xl90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8">
    <w:name w:val="xl90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9">
    <w:name w:val="xl90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0">
    <w:name w:val="xl91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1">
    <w:name w:val="xl911"/>
    <w:basedOn w:val="Normal"/>
    <w:rsid w:val="008819B7"/>
    <w:pPr>
      <w:spacing w:before="100" w:beforeAutospacing="1" w:after="100" w:afterAutospacing="1" w:line="240" w:lineRule="auto"/>
    </w:pPr>
    <w:rPr>
      <w:sz w:val="16"/>
      <w:szCs w:val="16"/>
      <w:lang w:eastAsia="en-GB"/>
    </w:rPr>
  </w:style>
  <w:style w:type="paragraph" w:customStyle="1" w:styleId="xl912">
    <w:name w:val="xl912"/>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3">
    <w:name w:val="xl91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4">
    <w:name w:val="xl914"/>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5">
    <w:name w:val="xl9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16">
    <w:name w:val="xl916"/>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17">
    <w:name w:val="xl9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8">
    <w:name w:val="xl918"/>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19">
    <w:name w:val="xl919"/>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20">
    <w:name w:val="xl920"/>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b/>
      <w:bCs/>
      <w:sz w:val="16"/>
      <w:szCs w:val="16"/>
      <w:lang w:eastAsia="en-GB"/>
    </w:rPr>
  </w:style>
  <w:style w:type="paragraph" w:customStyle="1" w:styleId="xl921">
    <w:name w:val="xl92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22">
    <w:name w:val="xl922"/>
    <w:basedOn w:val="Normal"/>
    <w:rsid w:val="008819B7"/>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sz w:val="16"/>
      <w:szCs w:val="16"/>
      <w:lang w:eastAsia="en-GB"/>
    </w:rPr>
  </w:style>
  <w:style w:type="paragraph" w:customStyle="1" w:styleId="xl923">
    <w:name w:val="xl92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24">
    <w:name w:val="xl924"/>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b/>
      <w:bCs/>
      <w:sz w:val="16"/>
      <w:szCs w:val="16"/>
      <w:lang w:eastAsia="en-GB"/>
    </w:rPr>
  </w:style>
  <w:style w:type="paragraph" w:customStyle="1" w:styleId="xl925">
    <w:name w:val="xl925"/>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16"/>
      <w:szCs w:val="16"/>
      <w:lang w:eastAsia="en-GB"/>
    </w:rPr>
  </w:style>
  <w:style w:type="paragraph" w:customStyle="1" w:styleId="xl926">
    <w:name w:val="xl926"/>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7">
    <w:name w:val="xl927"/>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8">
    <w:name w:val="xl928"/>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29">
    <w:name w:val="xl929"/>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30">
    <w:name w:val="xl930"/>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1">
    <w:name w:val="xl931"/>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b/>
      <w:bCs/>
      <w:sz w:val="16"/>
      <w:szCs w:val="16"/>
      <w:lang w:eastAsia="en-GB"/>
    </w:rPr>
  </w:style>
  <w:style w:type="paragraph" w:customStyle="1" w:styleId="xl932">
    <w:name w:val="xl932"/>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3">
    <w:name w:val="xl933"/>
    <w:basedOn w:val="Normal"/>
    <w:rsid w:val="008819B7"/>
    <w:pPr>
      <w:spacing w:before="100" w:beforeAutospacing="1" w:after="100" w:afterAutospacing="1" w:line="240" w:lineRule="auto"/>
    </w:pPr>
    <w:rPr>
      <w:b/>
      <w:bCs/>
      <w:sz w:val="16"/>
      <w:szCs w:val="16"/>
      <w:lang w:eastAsia="en-GB"/>
    </w:rPr>
  </w:style>
  <w:style w:type="paragraph" w:customStyle="1" w:styleId="xl934">
    <w:name w:val="xl93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35">
    <w:name w:val="xl935"/>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36">
    <w:name w:val="xl936"/>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7">
    <w:name w:val="xl937"/>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8">
    <w:name w:val="xl938"/>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FCSOPointParagraph">
    <w:name w:val="FCSO Point Paragraph"/>
    <w:basedOn w:val="Heading2"/>
    <w:uiPriority w:val="99"/>
    <w:rsid w:val="008819B7"/>
    <w:pPr>
      <w:tabs>
        <w:tab w:val="num" w:pos="567"/>
      </w:tabs>
      <w:spacing w:before="120" w:after="120" w:line="280" w:lineRule="atLeast"/>
      <w:ind w:left="567" w:hanging="567"/>
    </w:pPr>
    <w:rPr>
      <w:rFonts w:ascii="Foundry Sans" w:hAnsi="Foundry Sans"/>
      <w:b w:val="0"/>
      <w:i w:val="0"/>
      <w:sz w:val="22"/>
    </w:rPr>
  </w:style>
  <w:style w:type="paragraph" w:customStyle="1" w:styleId="Bullet2">
    <w:name w:val="Bullet2"/>
    <w:basedOn w:val="Normal"/>
    <w:uiPriority w:val="99"/>
    <w:rsid w:val="008819B7"/>
    <w:pPr>
      <w:numPr>
        <w:numId w:val="5"/>
      </w:numPr>
      <w:spacing w:after="0" w:line="280" w:lineRule="atLeast"/>
    </w:pPr>
  </w:style>
  <w:style w:type="character" w:customStyle="1" w:styleId="aab1d109198574567bb16292e6d4e23de1022">
    <w:name w:val="aab1d109198574567bb16292e6d4e23de102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xl84">
    <w:name w:val="xl84"/>
    <w:basedOn w:val="Normal"/>
    <w:rsid w:val="008819B7"/>
    <w:pPr>
      <w:spacing w:before="100" w:beforeAutospacing="1" w:after="100" w:afterAutospacing="1" w:line="240" w:lineRule="auto"/>
    </w:pPr>
    <w:rPr>
      <w:rFonts w:ascii="Times New Roman" w:hAnsi="Times New Roman"/>
      <w:b/>
      <w:bCs/>
      <w:sz w:val="28"/>
      <w:szCs w:val="28"/>
      <w:lang w:eastAsia="en-GB"/>
    </w:rPr>
  </w:style>
  <w:style w:type="paragraph" w:customStyle="1" w:styleId="xl85">
    <w:name w:val="xl85"/>
    <w:basedOn w:val="Normal"/>
    <w:rsid w:val="008819B7"/>
    <w:pPr>
      <w:spacing w:before="100" w:beforeAutospacing="1" w:after="100" w:afterAutospacing="1" w:line="240" w:lineRule="auto"/>
    </w:pPr>
    <w:rPr>
      <w:rFonts w:ascii="Times New Roman" w:hAnsi="Times New Roman"/>
      <w:sz w:val="28"/>
      <w:szCs w:val="28"/>
      <w:lang w:eastAsia="en-GB"/>
    </w:rPr>
  </w:style>
  <w:style w:type="paragraph" w:customStyle="1" w:styleId="xl86">
    <w:name w:val="xl86"/>
    <w:basedOn w:val="Normal"/>
    <w:rsid w:val="008819B7"/>
    <w:pP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87">
    <w:name w:val="xl87"/>
    <w:basedOn w:val="Normal"/>
    <w:rsid w:val="008819B7"/>
    <w:pPr>
      <w:spacing w:before="100" w:beforeAutospacing="1" w:after="100" w:afterAutospacing="1" w:line="240" w:lineRule="auto"/>
      <w:jc w:val="center"/>
    </w:pPr>
    <w:rPr>
      <w:rFonts w:ascii="Times New Roman" w:hAnsi="Times New Roman"/>
      <w:sz w:val="28"/>
      <w:szCs w:val="28"/>
      <w:lang w:eastAsia="en-GB"/>
    </w:rPr>
  </w:style>
  <w:style w:type="paragraph" w:customStyle="1" w:styleId="xl88">
    <w:name w:val="xl88"/>
    <w:basedOn w:val="Normal"/>
    <w:rsid w:val="008819B7"/>
    <w:pPr>
      <w:pBdr>
        <w:top w:val="single" w:sz="4" w:space="0" w:color="969696"/>
        <w:left w:val="single" w:sz="4" w:space="0" w:color="auto"/>
        <w:bottom w:val="single" w:sz="4" w:space="0" w:color="969696"/>
        <w:right w:val="single" w:sz="4" w:space="0" w:color="auto"/>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89">
    <w:name w:val="xl89"/>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0">
    <w:name w:val="xl90"/>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1">
    <w:name w:val="xl91"/>
    <w:basedOn w:val="Normal"/>
    <w:rsid w:val="008819B7"/>
    <w:pPr>
      <w:pBdr>
        <w:top w:val="single" w:sz="4" w:space="0" w:color="auto"/>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2">
    <w:name w:val="xl92"/>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3">
    <w:name w:val="xl93"/>
    <w:basedOn w:val="Normal"/>
    <w:rsid w:val="008819B7"/>
    <w:pPr>
      <w:pBdr>
        <w:left w:val="single" w:sz="4" w:space="0" w:color="auto"/>
        <w:bottom w:val="single" w:sz="4" w:space="0" w:color="969696"/>
        <w:right w:val="single" w:sz="4" w:space="0" w:color="auto"/>
      </w:pBdr>
      <w:shd w:val="clear" w:color="000000" w:fill="CCFFCC"/>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4">
    <w:name w:val="xl94"/>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5">
    <w:name w:val="xl95"/>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96">
    <w:name w:val="xl96"/>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right"/>
      <w:textAlignment w:val="center"/>
    </w:pPr>
    <w:rPr>
      <w:rFonts w:ascii="Times New Roman" w:hAnsi="Times New Roman"/>
      <w:b/>
      <w:bCs/>
      <w:sz w:val="28"/>
      <w:szCs w:val="28"/>
      <w:u w:val="single"/>
      <w:lang w:eastAsia="en-GB"/>
    </w:rPr>
  </w:style>
  <w:style w:type="paragraph" w:customStyle="1" w:styleId="xl97">
    <w:name w:val="xl97"/>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sz w:val="28"/>
      <w:szCs w:val="28"/>
      <w:lang w:eastAsia="en-GB"/>
    </w:rPr>
  </w:style>
  <w:style w:type="paragraph" w:customStyle="1" w:styleId="xl98">
    <w:name w:val="xl98"/>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b/>
      <w:bCs/>
      <w:sz w:val="28"/>
      <w:szCs w:val="28"/>
      <w:lang w:eastAsia="en-GB"/>
    </w:rPr>
  </w:style>
  <w:style w:type="paragraph" w:customStyle="1" w:styleId="xl99">
    <w:name w:val="xl99"/>
    <w:basedOn w:val="Normal"/>
    <w:rsid w:val="008819B7"/>
    <w:pPr>
      <w:pBdr>
        <w:top w:val="single" w:sz="4" w:space="0" w:color="969696"/>
        <w:left w:val="single" w:sz="4" w:space="0" w:color="auto"/>
        <w:bottom w:val="single" w:sz="4" w:space="0" w:color="969696"/>
        <w:right w:val="single" w:sz="4" w:space="0" w:color="auto"/>
      </w:pBdr>
      <w:shd w:val="clear" w:color="000000" w:fill="99CC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0">
    <w:name w:val="xl100"/>
    <w:basedOn w:val="Normal"/>
    <w:rsid w:val="008819B7"/>
    <w:pPr>
      <w:pBdr>
        <w:top w:val="single" w:sz="4" w:space="0" w:color="auto"/>
        <w:left w:val="single" w:sz="4" w:space="0" w:color="auto"/>
        <w:bottom w:val="single" w:sz="4" w:space="0" w:color="969696"/>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101">
    <w:name w:val="xl101"/>
    <w:basedOn w:val="Normal"/>
    <w:rsid w:val="008819B7"/>
    <w:pPr>
      <w:pBdr>
        <w:top w:val="single" w:sz="4" w:space="0" w:color="969696"/>
        <w:left w:val="single" w:sz="4" w:space="0" w:color="auto"/>
        <w:bottom w:val="single" w:sz="4" w:space="0" w:color="auto"/>
      </w:pBdr>
      <w:spacing w:before="100" w:beforeAutospacing="1" w:after="100" w:afterAutospacing="1" w:line="240" w:lineRule="auto"/>
    </w:pPr>
    <w:rPr>
      <w:rFonts w:ascii="Times New Roman" w:hAnsi="Times New Roman"/>
      <w:b/>
      <w:bCs/>
      <w:sz w:val="28"/>
      <w:szCs w:val="28"/>
      <w:lang w:eastAsia="en-GB"/>
    </w:rPr>
  </w:style>
  <w:style w:type="paragraph" w:customStyle="1" w:styleId="xl102">
    <w:name w:val="xl102"/>
    <w:basedOn w:val="Normal"/>
    <w:rsid w:val="008819B7"/>
    <w:pPr>
      <w:pBdr>
        <w:left w:val="single" w:sz="4" w:space="0" w:color="auto"/>
        <w:bottom w:val="single" w:sz="4" w:space="0" w:color="969696"/>
      </w:pBdr>
      <w:shd w:val="clear" w:color="000000" w:fill="CCFFCC"/>
      <w:spacing w:before="100" w:beforeAutospacing="1" w:after="100" w:afterAutospacing="1" w:line="240" w:lineRule="auto"/>
    </w:pPr>
    <w:rPr>
      <w:rFonts w:ascii="Times New Roman" w:hAnsi="Times New Roman"/>
      <w:b/>
      <w:bCs/>
      <w:sz w:val="28"/>
      <w:szCs w:val="28"/>
      <w:lang w:eastAsia="en-GB"/>
    </w:rPr>
  </w:style>
  <w:style w:type="paragraph" w:customStyle="1" w:styleId="xl103">
    <w:name w:val="xl103"/>
    <w:basedOn w:val="Normal"/>
    <w:rsid w:val="008819B7"/>
    <w:pPr>
      <w:pBdr>
        <w:top w:val="single" w:sz="4" w:space="0" w:color="969696"/>
        <w:left w:val="single" w:sz="4" w:space="0" w:color="auto"/>
        <w:bottom w:val="single" w:sz="4" w:space="0" w:color="969696"/>
      </w:pBdr>
      <w:spacing w:before="100" w:beforeAutospacing="1" w:after="100" w:afterAutospacing="1" w:line="240" w:lineRule="auto"/>
    </w:pPr>
    <w:rPr>
      <w:rFonts w:ascii="Times New Roman" w:hAnsi="Times New Roman"/>
      <w:b/>
      <w:bCs/>
      <w:sz w:val="28"/>
      <w:szCs w:val="28"/>
      <w:lang w:eastAsia="en-GB"/>
    </w:rPr>
  </w:style>
  <w:style w:type="paragraph" w:customStyle="1" w:styleId="xl104">
    <w:name w:val="xl104"/>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5">
    <w:name w:val="xl105"/>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6">
    <w:name w:val="xl106"/>
    <w:basedOn w:val="Normal"/>
    <w:rsid w:val="008819B7"/>
    <w:pPr>
      <w:pBdr>
        <w:top w:val="single" w:sz="4" w:space="0" w:color="969696"/>
        <w:left w:val="single" w:sz="4" w:space="0" w:color="auto"/>
        <w:bottom w:val="single" w:sz="4" w:space="0" w:color="969696"/>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7">
    <w:name w:val="xl107"/>
    <w:basedOn w:val="Normal"/>
    <w:rsid w:val="008819B7"/>
    <w:pPr>
      <w:pBdr>
        <w:top w:val="single" w:sz="4" w:space="0" w:color="969696"/>
        <w:left w:val="single" w:sz="4" w:space="0" w:color="auto"/>
        <w:bottom w:val="single" w:sz="4" w:space="0" w:color="969696"/>
      </w:pBdr>
      <w:shd w:val="clear" w:color="000000" w:fill="CCFF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8">
    <w:name w:val="xl108"/>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9">
    <w:name w:val="xl109"/>
    <w:basedOn w:val="Normal"/>
    <w:rsid w:val="008819B7"/>
    <w:pPr>
      <w:pBdr>
        <w:top w:val="single" w:sz="4" w:space="0" w:color="969696"/>
        <w:left w:val="single" w:sz="4" w:space="0" w:color="auto"/>
        <w:bottom w:val="single" w:sz="4" w:space="0" w:color="969696"/>
      </w:pBdr>
      <w:shd w:val="clear" w:color="000000" w:fill="99CCFF"/>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10">
    <w:name w:val="xl110"/>
    <w:basedOn w:val="Normal"/>
    <w:rsid w:val="008819B7"/>
    <w:pPr>
      <w:pBdr>
        <w:top w:val="single" w:sz="4" w:space="0" w:color="969696"/>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styleId="Revision">
    <w:name w:val="Revision"/>
    <w:hidden/>
    <w:uiPriority w:val="99"/>
    <w:semiHidden/>
    <w:rsid w:val="00B61583"/>
    <w:rPr>
      <w:rFonts w:ascii="Foundry Sans" w:hAnsi="Foundry Sans"/>
      <w:sz w:val="22"/>
      <w:szCs w:val="24"/>
      <w:lang w:eastAsia="en-US"/>
    </w:rPr>
  </w:style>
  <w:style w:type="paragraph" w:customStyle="1" w:styleId="xl62524">
    <w:name w:val="xl62524"/>
    <w:basedOn w:val="Normal"/>
    <w:rsid w:val="0062575C"/>
    <w:pPr>
      <w:spacing w:before="100" w:beforeAutospacing="1" w:after="100" w:afterAutospacing="1" w:line="240" w:lineRule="auto"/>
    </w:pPr>
    <w:rPr>
      <w:sz w:val="18"/>
      <w:szCs w:val="18"/>
      <w:lang w:eastAsia="en-GB"/>
    </w:rPr>
  </w:style>
  <w:style w:type="paragraph" w:customStyle="1" w:styleId="xl62525">
    <w:name w:val="xl62525"/>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26">
    <w:name w:val="xl62526"/>
    <w:basedOn w:val="Normal"/>
    <w:rsid w:val="0062575C"/>
    <w:pPr>
      <w:spacing w:before="100" w:beforeAutospacing="1" w:after="100" w:afterAutospacing="1" w:line="240" w:lineRule="auto"/>
    </w:pPr>
    <w:rPr>
      <w:sz w:val="18"/>
      <w:szCs w:val="18"/>
      <w:lang w:eastAsia="en-GB"/>
    </w:rPr>
  </w:style>
  <w:style w:type="paragraph" w:customStyle="1" w:styleId="xl62527">
    <w:name w:val="xl62527"/>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28">
    <w:name w:val="xl6252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29">
    <w:name w:val="xl6252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30">
    <w:name w:val="xl62530"/>
    <w:basedOn w:val="Normal"/>
    <w:rsid w:val="0062575C"/>
    <w:pPr>
      <w:spacing w:before="100" w:beforeAutospacing="1" w:after="100" w:afterAutospacing="1" w:line="240" w:lineRule="auto"/>
    </w:pPr>
    <w:rPr>
      <w:b/>
      <w:bCs/>
      <w:sz w:val="18"/>
      <w:szCs w:val="18"/>
      <w:lang w:eastAsia="en-GB"/>
    </w:rPr>
  </w:style>
  <w:style w:type="paragraph" w:customStyle="1" w:styleId="xl62531">
    <w:name w:val="xl6253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32">
    <w:name w:val="xl6253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3">
    <w:name w:val="xl62533"/>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4">
    <w:name w:val="xl6253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5">
    <w:name w:val="xl6253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6">
    <w:name w:val="xl6253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7">
    <w:name w:val="xl6253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8">
    <w:name w:val="xl62538"/>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39">
    <w:name w:val="xl62539"/>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40">
    <w:name w:val="xl62540"/>
    <w:basedOn w:val="Normal"/>
    <w:rsid w:val="0062575C"/>
    <w:pPr>
      <w:spacing w:before="100" w:beforeAutospacing="1" w:after="100" w:afterAutospacing="1" w:line="240" w:lineRule="auto"/>
    </w:pPr>
    <w:rPr>
      <w:b/>
      <w:bCs/>
      <w:sz w:val="18"/>
      <w:szCs w:val="18"/>
      <w:lang w:eastAsia="en-GB"/>
    </w:rPr>
  </w:style>
  <w:style w:type="paragraph" w:customStyle="1" w:styleId="xl62541">
    <w:name w:val="xl62541"/>
    <w:basedOn w:val="Normal"/>
    <w:rsid w:val="0062575C"/>
    <w:pPr>
      <w:spacing w:before="100" w:beforeAutospacing="1" w:after="100" w:afterAutospacing="1" w:line="240" w:lineRule="auto"/>
    </w:pPr>
    <w:rPr>
      <w:sz w:val="18"/>
      <w:szCs w:val="18"/>
      <w:lang w:eastAsia="en-GB"/>
    </w:rPr>
  </w:style>
  <w:style w:type="paragraph" w:customStyle="1" w:styleId="xl62542">
    <w:name w:val="xl62542"/>
    <w:basedOn w:val="Normal"/>
    <w:rsid w:val="0062575C"/>
    <w:pPr>
      <w:spacing w:before="100" w:beforeAutospacing="1" w:after="100" w:afterAutospacing="1" w:line="240" w:lineRule="auto"/>
    </w:pPr>
    <w:rPr>
      <w:sz w:val="18"/>
      <w:szCs w:val="18"/>
      <w:lang w:eastAsia="en-GB"/>
    </w:rPr>
  </w:style>
  <w:style w:type="paragraph" w:customStyle="1" w:styleId="xl62543">
    <w:name w:val="xl62543"/>
    <w:basedOn w:val="Normal"/>
    <w:rsid w:val="0062575C"/>
    <w:pPr>
      <w:spacing w:before="100" w:beforeAutospacing="1" w:after="100" w:afterAutospacing="1" w:line="240" w:lineRule="auto"/>
    </w:pPr>
    <w:rPr>
      <w:sz w:val="18"/>
      <w:szCs w:val="18"/>
      <w:lang w:eastAsia="en-GB"/>
    </w:rPr>
  </w:style>
  <w:style w:type="paragraph" w:customStyle="1" w:styleId="xl62544">
    <w:name w:val="xl62544"/>
    <w:basedOn w:val="Normal"/>
    <w:rsid w:val="0062575C"/>
    <w:pPr>
      <w:spacing w:before="100" w:beforeAutospacing="1" w:after="100" w:afterAutospacing="1" w:line="240" w:lineRule="auto"/>
    </w:pPr>
    <w:rPr>
      <w:b/>
      <w:bCs/>
      <w:sz w:val="18"/>
      <w:szCs w:val="18"/>
      <w:lang w:eastAsia="en-GB"/>
    </w:rPr>
  </w:style>
  <w:style w:type="paragraph" w:customStyle="1" w:styleId="xl62545">
    <w:name w:val="xl6254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18"/>
      <w:szCs w:val="18"/>
      <w:lang w:eastAsia="en-GB"/>
    </w:rPr>
  </w:style>
  <w:style w:type="paragraph" w:customStyle="1" w:styleId="xl62546">
    <w:name w:val="xl6254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7">
    <w:name w:val="xl6254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8">
    <w:name w:val="xl6254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49">
    <w:name w:val="xl6254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0">
    <w:name w:val="xl6255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1">
    <w:name w:val="xl6255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2">
    <w:name w:val="xl6255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3">
    <w:name w:val="xl62553"/>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4">
    <w:name w:val="xl6255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5">
    <w:name w:val="xl6255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6">
    <w:name w:val="xl62556"/>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7">
    <w:name w:val="xl6255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58">
    <w:name w:val="xl62558"/>
    <w:basedOn w:val="Normal"/>
    <w:rsid w:val="0062575C"/>
    <w:pPr>
      <w:pBdr>
        <w:top w:val="single" w:sz="4" w:space="0" w:color="auto"/>
        <w:left w:val="single" w:sz="4" w:space="0" w:color="auto"/>
        <w:bottom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9">
    <w:name w:val="xl62559"/>
    <w:basedOn w:val="Normal"/>
    <w:rsid w:val="0062575C"/>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60">
    <w:name w:val="xl6256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1">
    <w:name w:val="xl62561"/>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pPr>
    <w:rPr>
      <w:b/>
      <w:bCs/>
      <w:sz w:val="18"/>
      <w:szCs w:val="18"/>
      <w:lang w:eastAsia="en-GB"/>
    </w:rPr>
  </w:style>
  <w:style w:type="paragraph" w:customStyle="1" w:styleId="xl62562">
    <w:name w:val="xl62562"/>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3">
    <w:name w:val="xl62563"/>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4">
    <w:name w:val="xl62564"/>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5">
    <w:name w:val="xl62565"/>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6">
    <w:name w:val="xl62566"/>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table" w:styleId="TableClassic1">
    <w:name w:val="Table Classic 1"/>
    <w:basedOn w:val="TableNormal"/>
    <w:rsid w:val="00482B9E"/>
    <w:pPr>
      <w:spacing w:after="2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66">
    <w:name w:val="xl66"/>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customStyle="1" w:styleId="xl67">
    <w:name w:val="xl67"/>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68">
    <w:name w:val="xl68"/>
    <w:basedOn w:val="Normal"/>
    <w:rsid w:val="00152315"/>
    <w:pPr>
      <w:spacing w:before="100" w:beforeAutospacing="1" w:after="100" w:afterAutospacing="1" w:line="240" w:lineRule="auto"/>
    </w:pPr>
    <w:rPr>
      <w:sz w:val="20"/>
      <w:szCs w:val="20"/>
      <w:lang w:eastAsia="en-GB"/>
    </w:rPr>
  </w:style>
  <w:style w:type="paragraph" w:customStyle="1" w:styleId="xl69">
    <w:name w:val="xl69"/>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0">
    <w:name w:val="xl70"/>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1">
    <w:name w:val="xl71"/>
    <w:basedOn w:val="Normal"/>
    <w:rsid w:val="001523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2">
    <w:name w:val="xl72"/>
    <w:basedOn w:val="Normal"/>
    <w:rsid w:val="00152315"/>
    <w:pPr>
      <w:spacing w:before="100" w:beforeAutospacing="1" w:after="100" w:afterAutospacing="1" w:line="240" w:lineRule="auto"/>
    </w:pPr>
    <w:rPr>
      <w:b/>
      <w:bCs/>
      <w:sz w:val="20"/>
      <w:szCs w:val="20"/>
      <w:lang w:eastAsia="en-GB"/>
    </w:rPr>
  </w:style>
  <w:style w:type="paragraph" w:customStyle="1" w:styleId="xl73">
    <w:name w:val="xl73"/>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4">
    <w:name w:val="xl74"/>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5">
    <w:name w:val="xl75"/>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6">
    <w:name w:val="xl76"/>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7">
    <w:name w:val="xl77"/>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8">
    <w:name w:val="xl78"/>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9">
    <w:name w:val="xl79"/>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0">
    <w:name w:val="xl80"/>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1">
    <w:name w:val="xl81"/>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2">
    <w:name w:val="xl82"/>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3">
    <w:name w:val="xl83"/>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styleId="NoSpacing">
    <w:name w:val="No Spacing"/>
    <w:uiPriority w:val="1"/>
    <w:qFormat/>
    <w:rsid w:val="00EA6F67"/>
    <w:rPr>
      <w:rFonts w:ascii="Foundry Sans" w:eastAsiaTheme="minorHAnsi" w:hAnsi="Foundry Sans" w:cstheme="minorBidi"/>
      <w:sz w:val="22"/>
      <w:szCs w:val="22"/>
      <w:lang w:eastAsia="en-US"/>
    </w:rPr>
  </w:style>
  <w:style w:type="table" w:customStyle="1" w:styleId="TableGrid1">
    <w:name w:val="Table Grid1"/>
    <w:basedOn w:val="TableNormal"/>
    <w:next w:val="TableGrid"/>
    <w:rsid w:val="00AD6FF7"/>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812EF"/>
  </w:style>
  <w:style w:type="table" w:customStyle="1" w:styleId="TableGrid2">
    <w:name w:val="Table Grid2"/>
    <w:basedOn w:val="TableNormal"/>
    <w:next w:val="TableGrid"/>
    <w:uiPriority w:val="59"/>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C6848"/>
  </w:style>
  <w:style w:type="table" w:customStyle="1" w:styleId="TableGrid3">
    <w:name w:val="Table Grid3"/>
    <w:basedOn w:val="TableNormal"/>
    <w:next w:val="TableGrid"/>
    <w:rsid w:val="001C6848"/>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C6848"/>
  </w:style>
  <w:style w:type="character" w:customStyle="1" w:styleId="ListParagraphChar">
    <w:name w:val="List Paragraph Char"/>
    <w:basedOn w:val="DefaultParagraphFont"/>
    <w:link w:val="ListParagraph"/>
    <w:uiPriority w:val="34"/>
    <w:rsid w:val="001C6848"/>
    <w:rPr>
      <w:rFonts w:ascii="Foundry Sans" w:hAnsi="Foundry Sans"/>
      <w:sz w:val="22"/>
      <w:szCs w:val="24"/>
      <w:lang w:eastAsia="en-US"/>
    </w:rPr>
  </w:style>
  <w:style w:type="numbering" w:customStyle="1" w:styleId="NoList3">
    <w:name w:val="No List3"/>
    <w:next w:val="NoList"/>
    <w:uiPriority w:val="99"/>
    <w:semiHidden/>
    <w:unhideWhenUsed/>
    <w:rsid w:val="002226EF"/>
  </w:style>
  <w:style w:type="table" w:customStyle="1" w:styleId="TableGrid4">
    <w:name w:val="Table Grid4"/>
    <w:basedOn w:val="TableNormal"/>
    <w:next w:val="TableGrid"/>
    <w:rsid w:val="002226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226EF"/>
  </w:style>
  <w:style w:type="paragraph" w:customStyle="1" w:styleId="xl134">
    <w:name w:val="xl134"/>
    <w:basedOn w:val="Normal"/>
    <w:rsid w:val="00C25D35"/>
    <w:pPr>
      <w:spacing w:before="100" w:beforeAutospacing="1" w:after="100" w:afterAutospacing="1" w:line="240" w:lineRule="auto"/>
    </w:pPr>
    <w:rPr>
      <w:b/>
      <w:bCs/>
      <w:sz w:val="20"/>
      <w:szCs w:val="20"/>
      <w:lang w:eastAsia="en-GB"/>
    </w:rPr>
  </w:style>
  <w:style w:type="paragraph" w:customStyle="1" w:styleId="xl135">
    <w:name w:val="xl135"/>
    <w:basedOn w:val="Normal"/>
    <w:rsid w:val="00C25D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0"/>
      <w:szCs w:val="20"/>
      <w:lang w:eastAsia="en-GB"/>
    </w:rPr>
  </w:style>
  <w:style w:type="paragraph" w:customStyle="1" w:styleId="xl136">
    <w:name w:val="xl136"/>
    <w:basedOn w:val="Normal"/>
    <w:rsid w:val="00C25D3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customStyle="1" w:styleId="xl137">
    <w:name w:val="xl137"/>
    <w:basedOn w:val="Normal"/>
    <w:rsid w:val="00C25D35"/>
    <w:pPr>
      <w:pBdr>
        <w:top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138">
    <w:name w:val="xl138"/>
    <w:basedOn w:val="Normal"/>
    <w:rsid w:val="00C25D3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139">
    <w:name w:val="xl139"/>
    <w:basedOn w:val="Normal"/>
    <w:rsid w:val="00C25D3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140">
    <w:name w:val="xl140"/>
    <w:basedOn w:val="Normal"/>
    <w:rsid w:val="00C25D3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141">
    <w:name w:val="xl141"/>
    <w:basedOn w:val="Normal"/>
    <w:rsid w:val="00C25D3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829"/>
    <w:pPr>
      <w:spacing w:after="260" w:line="260" w:lineRule="atLeast"/>
    </w:pPr>
    <w:rPr>
      <w:rFonts w:ascii="Foundry Sans" w:hAnsi="Foundry Sans"/>
      <w:sz w:val="22"/>
      <w:szCs w:val="24"/>
      <w:lang w:eastAsia="en-US"/>
    </w:rPr>
  </w:style>
  <w:style w:type="paragraph" w:styleId="Heading1">
    <w:name w:val="heading 1"/>
    <w:basedOn w:val="Normal"/>
    <w:next w:val="Normal"/>
    <w:qFormat/>
    <w:rsid w:val="004B24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819B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9B7"/>
    <w:rPr>
      <w:rFonts w:ascii="Arial" w:hAnsi="Arial" w:cs="Arial"/>
      <w:b/>
      <w:bCs/>
      <w:i/>
      <w:iCs/>
      <w:sz w:val="28"/>
      <w:szCs w:val="28"/>
      <w:lang w:eastAsia="en-US"/>
    </w:rPr>
  </w:style>
  <w:style w:type="table" w:styleId="TableGrid">
    <w:name w:val="Table Grid"/>
    <w:basedOn w:val="TableNormal"/>
    <w:rsid w:val="00F82FAB"/>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1C367B"/>
    <w:pPr>
      <w:spacing w:after="80" w:line="300" w:lineRule="atLeast"/>
    </w:pPr>
    <w:rPr>
      <w:sz w:val="18"/>
    </w:rPr>
  </w:style>
  <w:style w:type="paragraph" w:customStyle="1" w:styleId="TitleHeading">
    <w:name w:val="TitleHeading"/>
    <w:basedOn w:val="Normal"/>
    <w:rsid w:val="006F0DAF"/>
    <w:pPr>
      <w:spacing w:before="20" w:after="0" w:line="420" w:lineRule="atLeast"/>
    </w:pPr>
    <w:rPr>
      <w:b/>
      <w:sz w:val="34"/>
    </w:rPr>
  </w:style>
  <w:style w:type="paragraph" w:customStyle="1" w:styleId="TitleNo">
    <w:name w:val="TitleNo"/>
    <w:basedOn w:val="Normal"/>
    <w:rsid w:val="006F0DAF"/>
    <w:pPr>
      <w:spacing w:after="0" w:line="840" w:lineRule="atLeast"/>
      <w:jc w:val="right"/>
    </w:pPr>
    <w:rPr>
      <w:b/>
      <w:sz w:val="90"/>
    </w:rPr>
  </w:style>
  <w:style w:type="paragraph" w:customStyle="1" w:styleId="TitleMeeting">
    <w:name w:val="TitleMeeting"/>
    <w:basedOn w:val="Normal"/>
    <w:rsid w:val="0045427A"/>
    <w:pPr>
      <w:spacing w:after="0" w:line="310" w:lineRule="atLeast"/>
    </w:pPr>
    <w:rPr>
      <w:sz w:val="26"/>
    </w:rPr>
  </w:style>
  <w:style w:type="paragraph" w:customStyle="1" w:styleId="TitleText">
    <w:name w:val="TitleText"/>
    <w:basedOn w:val="Normal"/>
    <w:rsid w:val="0045427A"/>
    <w:pPr>
      <w:spacing w:after="0"/>
    </w:pPr>
  </w:style>
  <w:style w:type="paragraph" w:customStyle="1" w:styleId="TitleTextSm">
    <w:name w:val="TitleTextSm"/>
    <w:basedOn w:val="Normal"/>
    <w:rsid w:val="00E36F1B"/>
    <w:pPr>
      <w:spacing w:after="120" w:line="240" w:lineRule="atLeast"/>
    </w:pPr>
    <w:rPr>
      <w:sz w:val="18"/>
    </w:rPr>
  </w:style>
  <w:style w:type="paragraph" w:customStyle="1" w:styleId="NormalSm">
    <w:name w:val="NormalSm"/>
    <w:basedOn w:val="Normal"/>
    <w:uiPriority w:val="99"/>
    <w:rsid w:val="006F0DAF"/>
  </w:style>
  <w:style w:type="paragraph" w:customStyle="1" w:styleId="HeadingSm">
    <w:name w:val="HeadingSm"/>
    <w:basedOn w:val="NormalSm"/>
    <w:next w:val="NormalSm"/>
    <w:rsid w:val="0057490F"/>
    <w:pPr>
      <w:keepNext/>
      <w:spacing w:after="0"/>
    </w:pPr>
    <w:rPr>
      <w:b/>
    </w:rPr>
  </w:style>
  <w:style w:type="paragraph" w:customStyle="1" w:styleId="Heading">
    <w:name w:val="Heading"/>
    <w:basedOn w:val="Normal"/>
    <w:next w:val="Normal"/>
    <w:rsid w:val="006F0DAF"/>
    <w:pPr>
      <w:keepNext/>
      <w:spacing w:after="0"/>
    </w:pPr>
    <w:rPr>
      <w:b/>
      <w:sz w:val="26"/>
    </w:rPr>
  </w:style>
  <w:style w:type="paragraph" w:customStyle="1" w:styleId="NormalSmNoSpace">
    <w:name w:val="NormalSmNoSpace"/>
    <w:basedOn w:val="NormalSm"/>
    <w:rsid w:val="00113F87"/>
    <w:pPr>
      <w:spacing w:after="0"/>
    </w:pPr>
  </w:style>
  <w:style w:type="paragraph" w:customStyle="1" w:styleId="NormalNoSpace">
    <w:name w:val="NormalNoSpace"/>
    <w:basedOn w:val="Normal"/>
    <w:rsid w:val="00113F87"/>
    <w:pPr>
      <w:spacing w:after="0"/>
    </w:pPr>
  </w:style>
  <w:style w:type="paragraph" w:customStyle="1" w:styleId="NumbList">
    <w:name w:val="NumbList"/>
    <w:basedOn w:val="Normal"/>
    <w:link w:val="NumbListChar"/>
    <w:rsid w:val="00EC52B7"/>
    <w:pPr>
      <w:numPr>
        <w:numId w:val="1"/>
      </w:numPr>
    </w:pPr>
  </w:style>
  <w:style w:type="character" w:customStyle="1" w:styleId="NumbListChar">
    <w:name w:val="NumbList Char"/>
    <w:link w:val="NumbList"/>
    <w:locked/>
    <w:rsid w:val="008819B7"/>
    <w:rPr>
      <w:rFonts w:ascii="Foundry Sans" w:hAnsi="Foundry Sans"/>
      <w:sz w:val="22"/>
      <w:szCs w:val="24"/>
      <w:lang w:eastAsia="en-US"/>
    </w:rPr>
  </w:style>
  <w:style w:type="paragraph" w:customStyle="1" w:styleId="Bullet">
    <w:name w:val="Bullet"/>
    <w:basedOn w:val="Normal"/>
    <w:rsid w:val="00EC52B7"/>
    <w:pPr>
      <w:numPr>
        <w:numId w:val="2"/>
      </w:numPr>
      <w:spacing w:after="0"/>
    </w:pPr>
  </w:style>
  <w:style w:type="paragraph" w:customStyle="1" w:styleId="SubHeading">
    <w:name w:val="SubHeading"/>
    <w:basedOn w:val="Heading"/>
    <w:rsid w:val="006F0DAF"/>
    <w:rPr>
      <w:sz w:val="22"/>
    </w:rPr>
  </w:style>
  <w:style w:type="paragraph" w:styleId="Header">
    <w:name w:val="header"/>
    <w:basedOn w:val="Normal"/>
    <w:link w:val="HeaderChar"/>
    <w:rsid w:val="003A58BF"/>
    <w:pPr>
      <w:tabs>
        <w:tab w:val="center" w:pos="4320"/>
        <w:tab w:val="right" w:pos="8640"/>
      </w:tabs>
    </w:pPr>
  </w:style>
  <w:style w:type="character" w:customStyle="1" w:styleId="HeaderChar">
    <w:name w:val="Header Char"/>
    <w:basedOn w:val="DefaultParagraphFont"/>
    <w:link w:val="Header"/>
    <w:rsid w:val="00A940BB"/>
    <w:rPr>
      <w:rFonts w:ascii="Foundry Sans" w:hAnsi="Foundry Sans"/>
      <w:sz w:val="22"/>
      <w:szCs w:val="24"/>
      <w:lang w:eastAsia="en-US"/>
    </w:rPr>
  </w:style>
  <w:style w:type="paragraph" w:styleId="Footer">
    <w:name w:val="footer"/>
    <w:basedOn w:val="Normal"/>
    <w:link w:val="FooterChar"/>
    <w:rsid w:val="00E01183"/>
    <w:pPr>
      <w:tabs>
        <w:tab w:val="right" w:pos="9639"/>
      </w:tabs>
      <w:spacing w:after="0"/>
    </w:pPr>
    <w:rPr>
      <w:color w:val="808080"/>
      <w:sz w:val="20"/>
    </w:rPr>
  </w:style>
  <w:style w:type="character" w:customStyle="1" w:styleId="FooterChar">
    <w:name w:val="Footer Char"/>
    <w:basedOn w:val="DefaultParagraphFont"/>
    <w:link w:val="Footer"/>
    <w:rsid w:val="00DC7023"/>
    <w:rPr>
      <w:rFonts w:ascii="Foundry Sans" w:hAnsi="Foundry Sans"/>
      <w:color w:val="808080"/>
      <w:szCs w:val="24"/>
      <w:lang w:eastAsia="en-US"/>
    </w:rPr>
  </w:style>
  <w:style w:type="paragraph" w:customStyle="1" w:styleId="BulletLast">
    <w:name w:val="BulletLast"/>
    <w:basedOn w:val="Bullet"/>
    <w:rsid w:val="0006235D"/>
    <w:pPr>
      <w:spacing w:after="260"/>
    </w:pPr>
  </w:style>
  <w:style w:type="paragraph" w:customStyle="1" w:styleId="NumbListNoSpace">
    <w:name w:val="NumbListNoSpace"/>
    <w:basedOn w:val="NumbList"/>
    <w:rsid w:val="00EC52B7"/>
    <w:pPr>
      <w:spacing w:after="0"/>
    </w:pPr>
  </w:style>
  <w:style w:type="paragraph" w:customStyle="1" w:styleId="NormalIndent">
    <w:name w:val="NormalIndent"/>
    <w:basedOn w:val="Normal"/>
    <w:rsid w:val="00EC52B7"/>
    <w:pPr>
      <w:ind w:left="340"/>
    </w:pPr>
    <w:rPr>
      <w:szCs w:val="20"/>
    </w:rPr>
  </w:style>
  <w:style w:type="character" w:styleId="FollowedHyperlink">
    <w:name w:val="FollowedHyperlink"/>
    <w:basedOn w:val="DefaultParagraphFont"/>
    <w:uiPriority w:val="99"/>
    <w:rsid w:val="00184F0C"/>
    <w:rPr>
      <w:color w:val="800080"/>
      <w:u w:val="single"/>
    </w:rPr>
  </w:style>
  <w:style w:type="paragraph" w:styleId="BalloonText">
    <w:name w:val="Balloon Text"/>
    <w:basedOn w:val="Normal"/>
    <w:link w:val="BalloonTextChar"/>
    <w:uiPriority w:val="99"/>
    <w:rsid w:val="00DE4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4536"/>
    <w:rPr>
      <w:rFonts w:ascii="Tahoma" w:hAnsi="Tahoma" w:cs="Tahoma"/>
      <w:sz w:val="16"/>
      <w:szCs w:val="16"/>
      <w:lang w:eastAsia="en-US"/>
    </w:rPr>
  </w:style>
  <w:style w:type="paragraph" w:styleId="ListParagraph">
    <w:name w:val="List Paragraph"/>
    <w:basedOn w:val="Normal"/>
    <w:link w:val="ListParagraphChar"/>
    <w:uiPriority w:val="34"/>
    <w:qFormat/>
    <w:rsid w:val="00151719"/>
    <w:pPr>
      <w:ind w:left="720"/>
      <w:contextualSpacing/>
    </w:pPr>
  </w:style>
  <w:style w:type="paragraph" w:styleId="BodyText">
    <w:name w:val="Body Text"/>
    <w:basedOn w:val="Normal"/>
    <w:link w:val="BodyTextChar"/>
    <w:rsid w:val="008819B7"/>
    <w:pPr>
      <w:spacing w:after="160" w:line="280" w:lineRule="atLeast"/>
    </w:pPr>
    <w:rPr>
      <w:szCs w:val="20"/>
      <w:lang w:eastAsia="en-GB"/>
    </w:rPr>
  </w:style>
  <w:style w:type="character" w:customStyle="1" w:styleId="BodyTextChar">
    <w:name w:val="Body Text Char"/>
    <w:basedOn w:val="DefaultParagraphFont"/>
    <w:link w:val="BodyText"/>
    <w:rsid w:val="008819B7"/>
    <w:rPr>
      <w:rFonts w:ascii="Foundry Sans" w:hAnsi="Foundry Sans"/>
      <w:sz w:val="22"/>
    </w:rPr>
  </w:style>
  <w:style w:type="paragraph" w:customStyle="1" w:styleId="Style1">
    <w:name w:val="Style1"/>
    <w:basedOn w:val="Normal"/>
    <w:rsid w:val="008819B7"/>
    <w:pPr>
      <w:spacing w:after="0" w:line="240" w:lineRule="auto"/>
    </w:pPr>
    <w:rPr>
      <w:rFonts w:ascii="Arial" w:hAnsi="Arial"/>
      <w:szCs w:val="20"/>
    </w:rPr>
  </w:style>
  <w:style w:type="paragraph" w:customStyle="1" w:styleId="numblist0">
    <w:name w:val="numblist"/>
    <w:basedOn w:val="Normal"/>
    <w:rsid w:val="008819B7"/>
    <w:pPr>
      <w:tabs>
        <w:tab w:val="num" w:pos="284"/>
      </w:tabs>
      <w:ind w:left="284" w:hanging="284"/>
    </w:pPr>
    <w:rPr>
      <w:szCs w:val="22"/>
      <w:lang w:eastAsia="en-GB"/>
    </w:rPr>
  </w:style>
  <w:style w:type="character" w:styleId="PageNumber">
    <w:name w:val="page number"/>
    <w:basedOn w:val="DefaultParagraphFont"/>
    <w:rsid w:val="008819B7"/>
  </w:style>
  <w:style w:type="character" w:styleId="Hyperlink">
    <w:name w:val="Hyperlink"/>
    <w:uiPriority w:val="99"/>
    <w:rsid w:val="008819B7"/>
    <w:rPr>
      <w:color w:val="0000FF"/>
      <w:u w:val="single"/>
    </w:rPr>
  </w:style>
  <w:style w:type="paragraph" w:customStyle="1" w:styleId="msolistparagraph0">
    <w:name w:val="msolistparagraph"/>
    <w:basedOn w:val="Normal"/>
    <w:rsid w:val="008819B7"/>
    <w:pPr>
      <w:spacing w:after="0" w:line="240" w:lineRule="auto"/>
      <w:ind w:left="720"/>
    </w:pPr>
    <w:rPr>
      <w:rFonts w:ascii="Calibri" w:hAnsi="Calibri"/>
      <w:szCs w:val="22"/>
    </w:rPr>
  </w:style>
  <w:style w:type="paragraph" w:styleId="NormalWeb">
    <w:name w:val="Normal (Web)"/>
    <w:basedOn w:val="Normal"/>
    <w:uiPriority w:val="99"/>
    <w:rsid w:val="008819B7"/>
    <w:pPr>
      <w:spacing w:before="100" w:beforeAutospacing="1" w:after="100" w:afterAutospacing="1" w:line="240" w:lineRule="auto"/>
    </w:pPr>
    <w:rPr>
      <w:rFonts w:ascii="Verdana" w:hAnsi="Verdana"/>
      <w:color w:val="000000"/>
      <w:sz w:val="18"/>
      <w:szCs w:val="18"/>
      <w:lang w:eastAsia="en-GB"/>
    </w:rPr>
  </w:style>
  <w:style w:type="character" w:customStyle="1" w:styleId="CharChar">
    <w:name w:val="Char Char"/>
    <w:locked/>
    <w:rsid w:val="008819B7"/>
    <w:rPr>
      <w:rFonts w:ascii="Foundry Sans" w:hAnsi="Foundry Sans"/>
      <w:sz w:val="22"/>
      <w:lang w:val="en-GB" w:eastAsia="en-GB" w:bidi="ar-SA"/>
    </w:rPr>
  </w:style>
  <w:style w:type="character" w:customStyle="1" w:styleId="CharChar1">
    <w:name w:val="Char Char1"/>
    <w:locked/>
    <w:rsid w:val="008819B7"/>
    <w:rPr>
      <w:rFonts w:ascii="Foundry Sans" w:hAnsi="Foundry Sans"/>
      <w:sz w:val="22"/>
      <w:lang w:val="en-GB" w:eastAsia="en-GB" w:bidi="ar-SA"/>
    </w:rPr>
  </w:style>
  <w:style w:type="paragraph" w:customStyle="1" w:styleId="xl111">
    <w:name w:val="xl11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2">
    <w:name w:val="xl112"/>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13">
    <w:name w:val="xl113"/>
    <w:basedOn w:val="Normal"/>
    <w:rsid w:val="008819B7"/>
    <w:pPr>
      <w:spacing w:before="100" w:beforeAutospacing="1" w:after="100" w:afterAutospacing="1" w:line="240" w:lineRule="auto"/>
    </w:pPr>
    <w:rPr>
      <w:sz w:val="16"/>
      <w:szCs w:val="16"/>
      <w:lang w:eastAsia="en-GB" w:bidi="bn-BD"/>
    </w:rPr>
  </w:style>
  <w:style w:type="paragraph" w:customStyle="1" w:styleId="xl114">
    <w:name w:val="xl114"/>
    <w:basedOn w:val="Normal"/>
    <w:rsid w:val="008819B7"/>
    <w:pPr>
      <w:spacing w:before="100" w:beforeAutospacing="1" w:after="100" w:afterAutospacing="1" w:line="240" w:lineRule="auto"/>
    </w:pPr>
    <w:rPr>
      <w:sz w:val="16"/>
      <w:szCs w:val="16"/>
      <w:lang w:eastAsia="en-GB" w:bidi="bn-BD"/>
    </w:rPr>
  </w:style>
  <w:style w:type="paragraph" w:customStyle="1" w:styleId="xl115">
    <w:name w:val="xl1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6">
    <w:name w:val="xl11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7">
    <w:name w:val="xl1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8">
    <w:name w:val="xl11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9">
    <w:name w:val="xl11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0">
    <w:name w:val="xl12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1">
    <w:name w:val="xl121"/>
    <w:basedOn w:val="Normal"/>
    <w:rsid w:val="008819B7"/>
    <w:pPr>
      <w:spacing w:before="100" w:beforeAutospacing="1" w:after="100" w:afterAutospacing="1" w:line="240" w:lineRule="auto"/>
    </w:pPr>
    <w:rPr>
      <w:sz w:val="16"/>
      <w:szCs w:val="16"/>
      <w:lang w:eastAsia="en-GB" w:bidi="bn-BD"/>
    </w:rPr>
  </w:style>
  <w:style w:type="paragraph" w:customStyle="1" w:styleId="xl122">
    <w:name w:val="xl122"/>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3">
    <w:name w:val="xl123"/>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4">
    <w:name w:val="xl124"/>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5">
    <w:name w:val="xl12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6">
    <w:name w:val="xl126"/>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7">
    <w:name w:val="xl127"/>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8">
    <w:name w:val="xl128"/>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9">
    <w:name w:val="xl129"/>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0">
    <w:name w:val="xl130"/>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1">
    <w:name w:val="xl131"/>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2">
    <w:name w:val="xl132"/>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3">
    <w:name w:val="xl133"/>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character" w:styleId="CommentReference">
    <w:name w:val="annotation reference"/>
    <w:uiPriority w:val="99"/>
    <w:rsid w:val="008819B7"/>
    <w:rPr>
      <w:sz w:val="16"/>
      <w:szCs w:val="16"/>
    </w:rPr>
  </w:style>
  <w:style w:type="paragraph" w:styleId="CommentText">
    <w:name w:val="annotation text"/>
    <w:basedOn w:val="Normal"/>
    <w:link w:val="CommentTextChar"/>
    <w:uiPriority w:val="99"/>
    <w:rsid w:val="008819B7"/>
    <w:rPr>
      <w:sz w:val="20"/>
      <w:szCs w:val="20"/>
    </w:rPr>
  </w:style>
  <w:style w:type="character" w:customStyle="1" w:styleId="CommentTextChar">
    <w:name w:val="Comment Text Char"/>
    <w:basedOn w:val="DefaultParagraphFont"/>
    <w:link w:val="CommentText"/>
    <w:uiPriority w:val="99"/>
    <w:rsid w:val="008819B7"/>
    <w:rPr>
      <w:rFonts w:ascii="Foundry Sans" w:hAnsi="Foundry Sans"/>
      <w:lang w:eastAsia="en-US"/>
    </w:rPr>
  </w:style>
  <w:style w:type="paragraph" w:styleId="CommentSubject">
    <w:name w:val="annotation subject"/>
    <w:basedOn w:val="CommentText"/>
    <w:next w:val="CommentText"/>
    <w:link w:val="CommentSubjectChar"/>
    <w:rsid w:val="008819B7"/>
    <w:rPr>
      <w:b/>
      <w:bCs/>
    </w:rPr>
  </w:style>
  <w:style w:type="character" w:customStyle="1" w:styleId="CommentSubjectChar">
    <w:name w:val="Comment Subject Char"/>
    <w:basedOn w:val="CommentTextChar"/>
    <w:link w:val="CommentSubject"/>
    <w:rsid w:val="008819B7"/>
    <w:rPr>
      <w:rFonts w:ascii="Foundry Sans" w:hAnsi="Foundry Sans"/>
      <w:b/>
      <w:bCs/>
      <w:lang w:eastAsia="en-US"/>
    </w:rPr>
  </w:style>
  <w:style w:type="paragraph" w:styleId="FootnoteText">
    <w:name w:val="footnote text"/>
    <w:basedOn w:val="Normal"/>
    <w:link w:val="FootnoteTextChar"/>
    <w:rsid w:val="008819B7"/>
    <w:rPr>
      <w:sz w:val="20"/>
      <w:szCs w:val="20"/>
    </w:rPr>
  </w:style>
  <w:style w:type="character" w:customStyle="1" w:styleId="FootnoteTextChar">
    <w:name w:val="Footnote Text Char"/>
    <w:basedOn w:val="DefaultParagraphFont"/>
    <w:link w:val="FootnoteText"/>
    <w:rsid w:val="008819B7"/>
    <w:rPr>
      <w:rFonts w:ascii="Foundry Sans" w:hAnsi="Foundry Sans"/>
      <w:lang w:eastAsia="en-US"/>
    </w:rPr>
  </w:style>
  <w:style w:type="character" w:styleId="FootnoteReference">
    <w:name w:val="footnote reference"/>
    <w:rsid w:val="008819B7"/>
    <w:rPr>
      <w:vertAlign w:val="superscript"/>
    </w:rPr>
  </w:style>
  <w:style w:type="character" w:customStyle="1" w:styleId="ae1a04ca777794c43a5821e64b3185fa21702">
    <w:name w:val="ae1a04ca777794c43a5821e64b3185fa2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62">
    <w:name w:val="a72a148d2d3ce46ba876afa6419191ff1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22">
    <w:name w:val="a72a148d2d3ce46ba876afa6419191ff1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702">
    <w:name w:val="a09ec1ce20b2341c3a24b5dd2d6cd355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982">
    <w:name w:val="a09ec1ce20b2341c3a24b5dd2d6cd355b98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022">
    <w:name w:val="a09ec1ce20b2341c3a24b5dd2d6cd355b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9934f2c551e4dd4a1b76236ef9e812c1022">
    <w:name w:val="ab9934f2c551e4dd4a1b76236ef9e812c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702">
    <w:name w:val="a0b036a7e00a34080811e2bdc3430407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102">
    <w:name w:val="a0b036a7e00a34080811e2bdc3430407b11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062">
    <w:name w:val="a0b036a7e00a34080811e2bdc3430407b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702">
    <w:name w:val="abae1d5e058b14924a947fa6a54dd8bc3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022">
    <w:name w:val="abae1d5e058b14924a947fa6a54dd8bc3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f1f282a2bdf04c85aebfed3934b86bd41062">
    <w:name w:val="af1f282a2bdf04c85aebfed3934b86bd4106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Default">
    <w:name w:val="Default"/>
    <w:rsid w:val="008819B7"/>
    <w:pPr>
      <w:autoSpaceDE w:val="0"/>
      <w:autoSpaceDN w:val="0"/>
      <w:adjustRightInd w:val="0"/>
    </w:pPr>
    <w:rPr>
      <w:rFonts w:ascii="Foundry Sans" w:hAnsi="Foundry Sans" w:cs="Foundry Sans"/>
      <w:color w:val="000000"/>
      <w:sz w:val="24"/>
      <w:szCs w:val="24"/>
    </w:rPr>
  </w:style>
  <w:style w:type="paragraph" w:customStyle="1" w:styleId="xl898">
    <w:name w:val="xl898"/>
    <w:basedOn w:val="Normal"/>
    <w:rsid w:val="008819B7"/>
    <w:pPr>
      <w:spacing w:before="100" w:beforeAutospacing="1" w:after="100" w:afterAutospacing="1" w:line="240" w:lineRule="auto"/>
    </w:pPr>
    <w:rPr>
      <w:sz w:val="16"/>
      <w:szCs w:val="16"/>
      <w:lang w:eastAsia="en-GB"/>
    </w:rPr>
  </w:style>
  <w:style w:type="paragraph" w:customStyle="1" w:styleId="xl899">
    <w:name w:val="xl89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00">
    <w:name w:val="xl900"/>
    <w:basedOn w:val="Normal"/>
    <w:rsid w:val="008819B7"/>
    <w:pPr>
      <w:spacing w:before="100" w:beforeAutospacing="1" w:after="100" w:afterAutospacing="1" w:line="240" w:lineRule="auto"/>
    </w:pPr>
    <w:rPr>
      <w:sz w:val="16"/>
      <w:szCs w:val="16"/>
      <w:lang w:eastAsia="en-GB"/>
    </w:rPr>
  </w:style>
  <w:style w:type="paragraph" w:customStyle="1" w:styleId="xl901">
    <w:name w:val="xl901"/>
    <w:basedOn w:val="Normal"/>
    <w:rsid w:val="008819B7"/>
    <w:pPr>
      <w:spacing w:before="100" w:beforeAutospacing="1" w:after="100" w:afterAutospacing="1" w:line="240" w:lineRule="auto"/>
    </w:pPr>
    <w:rPr>
      <w:b/>
      <w:bCs/>
      <w:sz w:val="16"/>
      <w:szCs w:val="16"/>
      <w:lang w:eastAsia="en-GB"/>
    </w:rPr>
  </w:style>
  <w:style w:type="paragraph" w:customStyle="1" w:styleId="xl902">
    <w:name w:val="xl902"/>
    <w:basedOn w:val="Normal"/>
    <w:rsid w:val="008819B7"/>
    <w:pPr>
      <w:spacing w:before="100" w:beforeAutospacing="1" w:after="100" w:afterAutospacing="1" w:line="240" w:lineRule="auto"/>
    </w:pPr>
    <w:rPr>
      <w:sz w:val="16"/>
      <w:szCs w:val="16"/>
      <w:lang w:eastAsia="en-GB"/>
    </w:rPr>
  </w:style>
  <w:style w:type="paragraph" w:customStyle="1" w:styleId="xl903">
    <w:name w:val="xl903"/>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04">
    <w:name w:val="xl90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5">
    <w:name w:val="xl90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6">
    <w:name w:val="xl90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7">
    <w:name w:val="xl90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8">
    <w:name w:val="xl90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9">
    <w:name w:val="xl90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0">
    <w:name w:val="xl91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1">
    <w:name w:val="xl911"/>
    <w:basedOn w:val="Normal"/>
    <w:rsid w:val="008819B7"/>
    <w:pPr>
      <w:spacing w:before="100" w:beforeAutospacing="1" w:after="100" w:afterAutospacing="1" w:line="240" w:lineRule="auto"/>
    </w:pPr>
    <w:rPr>
      <w:sz w:val="16"/>
      <w:szCs w:val="16"/>
      <w:lang w:eastAsia="en-GB"/>
    </w:rPr>
  </w:style>
  <w:style w:type="paragraph" w:customStyle="1" w:styleId="xl912">
    <w:name w:val="xl912"/>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3">
    <w:name w:val="xl91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4">
    <w:name w:val="xl914"/>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5">
    <w:name w:val="xl9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16">
    <w:name w:val="xl916"/>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17">
    <w:name w:val="xl9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8">
    <w:name w:val="xl918"/>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19">
    <w:name w:val="xl919"/>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20">
    <w:name w:val="xl920"/>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b/>
      <w:bCs/>
      <w:sz w:val="16"/>
      <w:szCs w:val="16"/>
      <w:lang w:eastAsia="en-GB"/>
    </w:rPr>
  </w:style>
  <w:style w:type="paragraph" w:customStyle="1" w:styleId="xl921">
    <w:name w:val="xl92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22">
    <w:name w:val="xl922"/>
    <w:basedOn w:val="Normal"/>
    <w:rsid w:val="008819B7"/>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sz w:val="16"/>
      <w:szCs w:val="16"/>
      <w:lang w:eastAsia="en-GB"/>
    </w:rPr>
  </w:style>
  <w:style w:type="paragraph" w:customStyle="1" w:styleId="xl923">
    <w:name w:val="xl92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24">
    <w:name w:val="xl924"/>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b/>
      <w:bCs/>
      <w:sz w:val="16"/>
      <w:szCs w:val="16"/>
      <w:lang w:eastAsia="en-GB"/>
    </w:rPr>
  </w:style>
  <w:style w:type="paragraph" w:customStyle="1" w:styleId="xl925">
    <w:name w:val="xl925"/>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16"/>
      <w:szCs w:val="16"/>
      <w:lang w:eastAsia="en-GB"/>
    </w:rPr>
  </w:style>
  <w:style w:type="paragraph" w:customStyle="1" w:styleId="xl926">
    <w:name w:val="xl926"/>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7">
    <w:name w:val="xl927"/>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8">
    <w:name w:val="xl928"/>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29">
    <w:name w:val="xl929"/>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30">
    <w:name w:val="xl930"/>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1">
    <w:name w:val="xl931"/>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b/>
      <w:bCs/>
      <w:sz w:val="16"/>
      <w:szCs w:val="16"/>
      <w:lang w:eastAsia="en-GB"/>
    </w:rPr>
  </w:style>
  <w:style w:type="paragraph" w:customStyle="1" w:styleId="xl932">
    <w:name w:val="xl932"/>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3">
    <w:name w:val="xl933"/>
    <w:basedOn w:val="Normal"/>
    <w:rsid w:val="008819B7"/>
    <w:pPr>
      <w:spacing w:before="100" w:beforeAutospacing="1" w:after="100" w:afterAutospacing="1" w:line="240" w:lineRule="auto"/>
    </w:pPr>
    <w:rPr>
      <w:b/>
      <w:bCs/>
      <w:sz w:val="16"/>
      <w:szCs w:val="16"/>
      <w:lang w:eastAsia="en-GB"/>
    </w:rPr>
  </w:style>
  <w:style w:type="paragraph" w:customStyle="1" w:styleId="xl934">
    <w:name w:val="xl93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35">
    <w:name w:val="xl935"/>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36">
    <w:name w:val="xl936"/>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7">
    <w:name w:val="xl937"/>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8">
    <w:name w:val="xl938"/>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FCSOPointParagraph">
    <w:name w:val="FCSO Point Paragraph"/>
    <w:basedOn w:val="Heading2"/>
    <w:uiPriority w:val="99"/>
    <w:rsid w:val="008819B7"/>
    <w:pPr>
      <w:tabs>
        <w:tab w:val="num" w:pos="567"/>
      </w:tabs>
      <w:spacing w:before="120" w:after="120" w:line="280" w:lineRule="atLeast"/>
      <w:ind w:left="567" w:hanging="567"/>
    </w:pPr>
    <w:rPr>
      <w:rFonts w:ascii="Foundry Sans" w:hAnsi="Foundry Sans"/>
      <w:b w:val="0"/>
      <w:i w:val="0"/>
      <w:sz w:val="22"/>
    </w:rPr>
  </w:style>
  <w:style w:type="paragraph" w:customStyle="1" w:styleId="Bullet2">
    <w:name w:val="Bullet2"/>
    <w:basedOn w:val="Normal"/>
    <w:uiPriority w:val="99"/>
    <w:rsid w:val="008819B7"/>
    <w:pPr>
      <w:numPr>
        <w:numId w:val="5"/>
      </w:numPr>
      <w:spacing w:after="0" w:line="280" w:lineRule="atLeast"/>
    </w:pPr>
  </w:style>
  <w:style w:type="character" w:customStyle="1" w:styleId="aab1d109198574567bb16292e6d4e23de1022">
    <w:name w:val="aab1d109198574567bb16292e6d4e23de102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xl84">
    <w:name w:val="xl84"/>
    <w:basedOn w:val="Normal"/>
    <w:rsid w:val="008819B7"/>
    <w:pPr>
      <w:spacing w:before="100" w:beforeAutospacing="1" w:after="100" w:afterAutospacing="1" w:line="240" w:lineRule="auto"/>
    </w:pPr>
    <w:rPr>
      <w:rFonts w:ascii="Times New Roman" w:hAnsi="Times New Roman"/>
      <w:b/>
      <w:bCs/>
      <w:sz w:val="28"/>
      <w:szCs w:val="28"/>
      <w:lang w:eastAsia="en-GB"/>
    </w:rPr>
  </w:style>
  <w:style w:type="paragraph" w:customStyle="1" w:styleId="xl85">
    <w:name w:val="xl85"/>
    <w:basedOn w:val="Normal"/>
    <w:rsid w:val="008819B7"/>
    <w:pPr>
      <w:spacing w:before="100" w:beforeAutospacing="1" w:after="100" w:afterAutospacing="1" w:line="240" w:lineRule="auto"/>
    </w:pPr>
    <w:rPr>
      <w:rFonts w:ascii="Times New Roman" w:hAnsi="Times New Roman"/>
      <w:sz w:val="28"/>
      <w:szCs w:val="28"/>
      <w:lang w:eastAsia="en-GB"/>
    </w:rPr>
  </w:style>
  <w:style w:type="paragraph" w:customStyle="1" w:styleId="xl86">
    <w:name w:val="xl86"/>
    <w:basedOn w:val="Normal"/>
    <w:rsid w:val="008819B7"/>
    <w:pP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87">
    <w:name w:val="xl87"/>
    <w:basedOn w:val="Normal"/>
    <w:rsid w:val="008819B7"/>
    <w:pPr>
      <w:spacing w:before="100" w:beforeAutospacing="1" w:after="100" w:afterAutospacing="1" w:line="240" w:lineRule="auto"/>
      <w:jc w:val="center"/>
    </w:pPr>
    <w:rPr>
      <w:rFonts w:ascii="Times New Roman" w:hAnsi="Times New Roman"/>
      <w:sz w:val="28"/>
      <w:szCs w:val="28"/>
      <w:lang w:eastAsia="en-GB"/>
    </w:rPr>
  </w:style>
  <w:style w:type="paragraph" w:customStyle="1" w:styleId="xl88">
    <w:name w:val="xl88"/>
    <w:basedOn w:val="Normal"/>
    <w:rsid w:val="008819B7"/>
    <w:pPr>
      <w:pBdr>
        <w:top w:val="single" w:sz="4" w:space="0" w:color="969696"/>
        <w:left w:val="single" w:sz="4" w:space="0" w:color="auto"/>
        <w:bottom w:val="single" w:sz="4" w:space="0" w:color="969696"/>
        <w:right w:val="single" w:sz="4" w:space="0" w:color="auto"/>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89">
    <w:name w:val="xl89"/>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0">
    <w:name w:val="xl90"/>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1">
    <w:name w:val="xl91"/>
    <w:basedOn w:val="Normal"/>
    <w:rsid w:val="008819B7"/>
    <w:pPr>
      <w:pBdr>
        <w:top w:val="single" w:sz="4" w:space="0" w:color="auto"/>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2">
    <w:name w:val="xl92"/>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3">
    <w:name w:val="xl93"/>
    <w:basedOn w:val="Normal"/>
    <w:rsid w:val="008819B7"/>
    <w:pPr>
      <w:pBdr>
        <w:left w:val="single" w:sz="4" w:space="0" w:color="auto"/>
        <w:bottom w:val="single" w:sz="4" w:space="0" w:color="969696"/>
        <w:right w:val="single" w:sz="4" w:space="0" w:color="auto"/>
      </w:pBdr>
      <w:shd w:val="clear" w:color="000000" w:fill="CCFFCC"/>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4">
    <w:name w:val="xl94"/>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5">
    <w:name w:val="xl95"/>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96">
    <w:name w:val="xl96"/>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right"/>
      <w:textAlignment w:val="center"/>
    </w:pPr>
    <w:rPr>
      <w:rFonts w:ascii="Times New Roman" w:hAnsi="Times New Roman"/>
      <w:b/>
      <w:bCs/>
      <w:sz w:val="28"/>
      <w:szCs w:val="28"/>
      <w:u w:val="single"/>
      <w:lang w:eastAsia="en-GB"/>
    </w:rPr>
  </w:style>
  <w:style w:type="paragraph" w:customStyle="1" w:styleId="xl97">
    <w:name w:val="xl97"/>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sz w:val="28"/>
      <w:szCs w:val="28"/>
      <w:lang w:eastAsia="en-GB"/>
    </w:rPr>
  </w:style>
  <w:style w:type="paragraph" w:customStyle="1" w:styleId="xl98">
    <w:name w:val="xl98"/>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b/>
      <w:bCs/>
      <w:sz w:val="28"/>
      <w:szCs w:val="28"/>
      <w:lang w:eastAsia="en-GB"/>
    </w:rPr>
  </w:style>
  <w:style w:type="paragraph" w:customStyle="1" w:styleId="xl99">
    <w:name w:val="xl99"/>
    <w:basedOn w:val="Normal"/>
    <w:rsid w:val="008819B7"/>
    <w:pPr>
      <w:pBdr>
        <w:top w:val="single" w:sz="4" w:space="0" w:color="969696"/>
        <w:left w:val="single" w:sz="4" w:space="0" w:color="auto"/>
        <w:bottom w:val="single" w:sz="4" w:space="0" w:color="969696"/>
        <w:right w:val="single" w:sz="4" w:space="0" w:color="auto"/>
      </w:pBdr>
      <w:shd w:val="clear" w:color="000000" w:fill="99CC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0">
    <w:name w:val="xl100"/>
    <w:basedOn w:val="Normal"/>
    <w:rsid w:val="008819B7"/>
    <w:pPr>
      <w:pBdr>
        <w:top w:val="single" w:sz="4" w:space="0" w:color="auto"/>
        <w:left w:val="single" w:sz="4" w:space="0" w:color="auto"/>
        <w:bottom w:val="single" w:sz="4" w:space="0" w:color="969696"/>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101">
    <w:name w:val="xl101"/>
    <w:basedOn w:val="Normal"/>
    <w:rsid w:val="008819B7"/>
    <w:pPr>
      <w:pBdr>
        <w:top w:val="single" w:sz="4" w:space="0" w:color="969696"/>
        <w:left w:val="single" w:sz="4" w:space="0" w:color="auto"/>
        <w:bottom w:val="single" w:sz="4" w:space="0" w:color="auto"/>
      </w:pBdr>
      <w:spacing w:before="100" w:beforeAutospacing="1" w:after="100" w:afterAutospacing="1" w:line="240" w:lineRule="auto"/>
    </w:pPr>
    <w:rPr>
      <w:rFonts w:ascii="Times New Roman" w:hAnsi="Times New Roman"/>
      <w:b/>
      <w:bCs/>
      <w:sz w:val="28"/>
      <w:szCs w:val="28"/>
      <w:lang w:eastAsia="en-GB"/>
    </w:rPr>
  </w:style>
  <w:style w:type="paragraph" w:customStyle="1" w:styleId="xl102">
    <w:name w:val="xl102"/>
    <w:basedOn w:val="Normal"/>
    <w:rsid w:val="008819B7"/>
    <w:pPr>
      <w:pBdr>
        <w:left w:val="single" w:sz="4" w:space="0" w:color="auto"/>
        <w:bottom w:val="single" w:sz="4" w:space="0" w:color="969696"/>
      </w:pBdr>
      <w:shd w:val="clear" w:color="000000" w:fill="CCFFCC"/>
      <w:spacing w:before="100" w:beforeAutospacing="1" w:after="100" w:afterAutospacing="1" w:line="240" w:lineRule="auto"/>
    </w:pPr>
    <w:rPr>
      <w:rFonts w:ascii="Times New Roman" w:hAnsi="Times New Roman"/>
      <w:b/>
      <w:bCs/>
      <w:sz w:val="28"/>
      <w:szCs w:val="28"/>
      <w:lang w:eastAsia="en-GB"/>
    </w:rPr>
  </w:style>
  <w:style w:type="paragraph" w:customStyle="1" w:styleId="xl103">
    <w:name w:val="xl103"/>
    <w:basedOn w:val="Normal"/>
    <w:rsid w:val="008819B7"/>
    <w:pPr>
      <w:pBdr>
        <w:top w:val="single" w:sz="4" w:space="0" w:color="969696"/>
        <w:left w:val="single" w:sz="4" w:space="0" w:color="auto"/>
        <w:bottom w:val="single" w:sz="4" w:space="0" w:color="969696"/>
      </w:pBdr>
      <w:spacing w:before="100" w:beforeAutospacing="1" w:after="100" w:afterAutospacing="1" w:line="240" w:lineRule="auto"/>
    </w:pPr>
    <w:rPr>
      <w:rFonts w:ascii="Times New Roman" w:hAnsi="Times New Roman"/>
      <w:b/>
      <w:bCs/>
      <w:sz w:val="28"/>
      <w:szCs w:val="28"/>
      <w:lang w:eastAsia="en-GB"/>
    </w:rPr>
  </w:style>
  <w:style w:type="paragraph" w:customStyle="1" w:styleId="xl104">
    <w:name w:val="xl104"/>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5">
    <w:name w:val="xl105"/>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6">
    <w:name w:val="xl106"/>
    <w:basedOn w:val="Normal"/>
    <w:rsid w:val="008819B7"/>
    <w:pPr>
      <w:pBdr>
        <w:top w:val="single" w:sz="4" w:space="0" w:color="969696"/>
        <w:left w:val="single" w:sz="4" w:space="0" w:color="auto"/>
        <w:bottom w:val="single" w:sz="4" w:space="0" w:color="969696"/>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7">
    <w:name w:val="xl107"/>
    <w:basedOn w:val="Normal"/>
    <w:rsid w:val="008819B7"/>
    <w:pPr>
      <w:pBdr>
        <w:top w:val="single" w:sz="4" w:space="0" w:color="969696"/>
        <w:left w:val="single" w:sz="4" w:space="0" w:color="auto"/>
        <w:bottom w:val="single" w:sz="4" w:space="0" w:color="969696"/>
      </w:pBdr>
      <w:shd w:val="clear" w:color="000000" w:fill="CCFF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8">
    <w:name w:val="xl108"/>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9">
    <w:name w:val="xl109"/>
    <w:basedOn w:val="Normal"/>
    <w:rsid w:val="008819B7"/>
    <w:pPr>
      <w:pBdr>
        <w:top w:val="single" w:sz="4" w:space="0" w:color="969696"/>
        <w:left w:val="single" w:sz="4" w:space="0" w:color="auto"/>
        <w:bottom w:val="single" w:sz="4" w:space="0" w:color="969696"/>
      </w:pBdr>
      <w:shd w:val="clear" w:color="000000" w:fill="99CCFF"/>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10">
    <w:name w:val="xl110"/>
    <w:basedOn w:val="Normal"/>
    <w:rsid w:val="008819B7"/>
    <w:pPr>
      <w:pBdr>
        <w:top w:val="single" w:sz="4" w:space="0" w:color="969696"/>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styleId="Revision">
    <w:name w:val="Revision"/>
    <w:hidden/>
    <w:uiPriority w:val="99"/>
    <w:semiHidden/>
    <w:rsid w:val="00B61583"/>
    <w:rPr>
      <w:rFonts w:ascii="Foundry Sans" w:hAnsi="Foundry Sans"/>
      <w:sz w:val="22"/>
      <w:szCs w:val="24"/>
      <w:lang w:eastAsia="en-US"/>
    </w:rPr>
  </w:style>
  <w:style w:type="paragraph" w:customStyle="1" w:styleId="xl62524">
    <w:name w:val="xl62524"/>
    <w:basedOn w:val="Normal"/>
    <w:rsid w:val="0062575C"/>
    <w:pPr>
      <w:spacing w:before="100" w:beforeAutospacing="1" w:after="100" w:afterAutospacing="1" w:line="240" w:lineRule="auto"/>
    </w:pPr>
    <w:rPr>
      <w:sz w:val="18"/>
      <w:szCs w:val="18"/>
      <w:lang w:eastAsia="en-GB"/>
    </w:rPr>
  </w:style>
  <w:style w:type="paragraph" w:customStyle="1" w:styleId="xl62525">
    <w:name w:val="xl62525"/>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26">
    <w:name w:val="xl62526"/>
    <w:basedOn w:val="Normal"/>
    <w:rsid w:val="0062575C"/>
    <w:pPr>
      <w:spacing w:before="100" w:beforeAutospacing="1" w:after="100" w:afterAutospacing="1" w:line="240" w:lineRule="auto"/>
    </w:pPr>
    <w:rPr>
      <w:sz w:val="18"/>
      <w:szCs w:val="18"/>
      <w:lang w:eastAsia="en-GB"/>
    </w:rPr>
  </w:style>
  <w:style w:type="paragraph" w:customStyle="1" w:styleId="xl62527">
    <w:name w:val="xl62527"/>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28">
    <w:name w:val="xl6252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29">
    <w:name w:val="xl6252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30">
    <w:name w:val="xl62530"/>
    <w:basedOn w:val="Normal"/>
    <w:rsid w:val="0062575C"/>
    <w:pPr>
      <w:spacing w:before="100" w:beforeAutospacing="1" w:after="100" w:afterAutospacing="1" w:line="240" w:lineRule="auto"/>
    </w:pPr>
    <w:rPr>
      <w:b/>
      <w:bCs/>
      <w:sz w:val="18"/>
      <w:szCs w:val="18"/>
      <w:lang w:eastAsia="en-GB"/>
    </w:rPr>
  </w:style>
  <w:style w:type="paragraph" w:customStyle="1" w:styleId="xl62531">
    <w:name w:val="xl6253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32">
    <w:name w:val="xl6253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3">
    <w:name w:val="xl62533"/>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4">
    <w:name w:val="xl6253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5">
    <w:name w:val="xl6253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6">
    <w:name w:val="xl6253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7">
    <w:name w:val="xl6253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8">
    <w:name w:val="xl62538"/>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39">
    <w:name w:val="xl62539"/>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40">
    <w:name w:val="xl62540"/>
    <w:basedOn w:val="Normal"/>
    <w:rsid w:val="0062575C"/>
    <w:pPr>
      <w:spacing w:before="100" w:beforeAutospacing="1" w:after="100" w:afterAutospacing="1" w:line="240" w:lineRule="auto"/>
    </w:pPr>
    <w:rPr>
      <w:b/>
      <w:bCs/>
      <w:sz w:val="18"/>
      <w:szCs w:val="18"/>
      <w:lang w:eastAsia="en-GB"/>
    </w:rPr>
  </w:style>
  <w:style w:type="paragraph" w:customStyle="1" w:styleId="xl62541">
    <w:name w:val="xl62541"/>
    <w:basedOn w:val="Normal"/>
    <w:rsid w:val="0062575C"/>
    <w:pPr>
      <w:spacing w:before="100" w:beforeAutospacing="1" w:after="100" w:afterAutospacing="1" w:line="240" w:lineRule="auto"/>
    </w:pPr>
    <w:rPr>
      <w:sz w:val="18"/>
      <w:szCs w:val="18"/>
      <w:lang w:eastAsia="en-GB"/>
    </w:rPr>
  </w:style>
  <w:style w:type="paragraph" w:customStyle="1" w:styleId="xl62542">
    <w:name w:val="xl62542"/>
    <w:basedOn w:val="Normal"/>
    <w:rsid w:val="0062575C"/>
    <w:pPr>
      <w:spacing w:before="100" w:beforeAutospacing="1" w:after="100" w:afterAutospacing="1" w:line="240" w:lineRule="auto"/>
    </w:pPr>
    <w:rPr>
      <w:sz w:val="18"/>
      <w:szCs w:val="18"/>
      <w:lang w:eastAsia="en-GB"/>
    </w:rPr>
  </w:style>
  <w:style w:type="paragraph" w:customStyle="1" w:styleId="xl62543">
    <w:name w:val="xl62543"/>
    <w:basedOn w:val="Normal"/>
    <w:rsid w:val="0062575C"/>
    <w:pPr>
      <w:spacing w:before="100" w:beforeAutospacing="1" w:after="100" w:afterAutospacing="1" w:line="240" w:lineRule="auto"/>
    </w:pPr>
    <w:rPr>
      <w:sz w:val="18"/>
      <w:szCs w:val="18"/>
      <w:lang w:eastAsia="en-GB"/>
    </w:rPr>
  </w:style>
  <w:style w:type="paragraph" w:customStyle="1" w:styleId="xl62544">
    <w:name w:val="xl62544"/>
    <w:basedOn w:val="Normal"/>
    <w:rsid w:val="0062575C"/>
    <w:pPr>
      <w:spacing w:before="100" w:beforeAutospacing="1" w:after="100" w:afterAutospacing="1" w:line="240" w:lineRule="auto"/>
    </w:pPr>
    <w:rPr>
      <w:b/>
      <w:bCs/>
      <w:sz w:val="18"/>
      <w:szCs w:val="18"/>
      <w:lang w:eastAsia="en-GB"/>
    </w:rPr>
  </w:style>
  <w:style w:type="paragraph" w:customStyle="1" w:styleId="xl62545">
    <w:name w:val="xl6254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18"/>
      <w:szCs w:val="18"/>
      <w:lang w:eastAsia="en-GB"/>
    </w:rPr>
  </w:style>
  <w:style w:type="paragraph" w:customStyle="1" w:styleId="xl62546">
    <w:name w:val="xl6254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7">
    <w:name w:val="xl6254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8">
    <w:name w:val="xl6254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49">
    <w:name w:val="xl6254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0">
    <w:name w:val="xl6255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1">
    <w:name w:val="xl6255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2">
    <w:name w:val="xl6255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3">
    <w:name w:val="xl62553"/>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4">
    <w:name w:val="xl6255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5">
    <w:name w:val="xl6255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6">
    <w:name w:val="xl62556"/>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7">
    <w:name w:val="xl6255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58">
    <w:name w:val="xl62558"/>
    <w:basedOn w:val="Normal"/>
    <w:rsid w:val="0062575C"/>
    <w:pPr>
      <w:pBdr>
        <w:top w:val="single" w:sz="4" w:space="0" w:color="auto"/>
        <w:left w:val="single" w:sz="4" w:space="0" w:color="auto"/>
        <w:bottom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9">
    <w:name w:val="xl62559"/>
    <w:basedOn w:val="Normal"/>
    <w:rsid w:val="0062575C"/>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60">
    <w:name w:val="xl6256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1">
    <w:name w:val="xl62561"/>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pPr>
    <w:rPr>
      <w:b/>
      <w:bCs/>
      <w:sz w:val="18"/>
      <w:szCs w:val="18"/>
      <w:lang w:eastAsia="en-GB"/>
    </w:rPr>
  </w:style>
  <w:style w:type="paragraph" w:customStyle="1" w:styleId="xl62562">
    <w:name w:val="xl62562"/>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3">
    <w:name w:val="xl62563"/>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4">
    <w:name w:val="xl62564"/>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5">
    <w:name w:val="xl62565"/>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6">
    <w:name w:val="xl62566"/>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table" w:styleId="TableClassic1">
    <w:name w:val="Table Classic 1"/>
    <w:basedOn w:val="TableNormal"/>
    <w:rsid w:val="00482B9E"/>
    <w:pPr>
      <w:spacing w:after="2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66">
    <w:name w:val="xl66"/>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customStyle="1" w:styleId="xl67">
    <w:name w:val="xl67"/>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68">
    <w:name w:val="xl68"/>
    <w:basedOn w:val="Normal"/>
    <w:rsid w:val="00152315"/>
    <w:pPr>
      <w:spacing w:before="100" w:beforeAutospacing="1" w:after="100" w:afterAutospacing="1" w:line="240" w:lineRule="auto"/>
    </w:pPr>
    <w:rPr>
      <w:sz w:val="20"/>
      <w:szCs w:val="20"/>
      <w:lang w:eastAsia="en-GB"/>
    </w:rPr>
  </w:style>
  <w:style w:type="paragraph" w:customStyle="1" w:styleId="xl69">
    <w:name w:val="xl69"/>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0">
    <w:name w:val="xl70"/>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1">
    <w:name w:val="xl71"/>
    <w:basedOn w:val="Normal"/>
    <w:rsid w:val="001523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2">
    <w:name w:val="xl72"/>
    <w:basedOn w:val="Normal"/>
    <w:rsid w:val="00152315"/>
    <w:pPr>
      <w:spacing w:before="100" w:beforeAutospacing="1" w:after="100" w:afterAutospacing="1" w:line="240" w:lineRule="auto"/>
    </w:pPr>
    <w:rPr>
      <w:b/>
      <w:bCs/>
      <w:sz w:val="20"/>
      <w:szCs w:val="20"/>
      <w:lang w:eastAsia="en-GB"/>
    </w:rPr>
  </w:style>
  <w:style w:type="paragraph" w:customStyle="1" w:styleId="xl73">
    <w:name w:val="xl73"/>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4">
    <w:name w:val="xl74"/>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5">
    <w:name w:val="xl75"/>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6">
    <w:name w:val="xl76"/>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7">
    <w:name w:val="xl77"/>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8">
    <w:name w:val="xl78"/>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9">
    <w:name w:val="xl79"/>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0">
    <w:name w:val="xl80"/>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1">
    <w:name w:val="xl81"/>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2">
    <w:name w:val="xl82"/>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3">
    <w:name w:val="xl83"/>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styleId="NoSpacing">
    <w:name w:val="No Spacing"/>
    <w:uiPriority w:val="1"/>
    <w:qFormat/>
    <w:rsid w:val="00EA6F67"/>
    <w:rPr>
      <w:rFonts w:ascii="Foundry Sans" w:eastAsiaTheme="minorHAnsi" w:hAnsi="Foundry Sans" w:cstheme="minorBidi"/>
      <w:sz w:val="22"/>
      <w:szCs w:val="22"/>
      <w:lang w:eastAsia="en-US"/>
    </w:rPr>
  </w:style>
  <w:style w:type="table" w:customStyle="1" w:styleId="TableGrid1">
    <w:name w:val="Table Grid1"/>
    <w:basedOn w:val="TableNormal"/>
    <w:next w:val="TableGrid"/>
    <w:rsid w:val="00AD6FF7"/>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812EF"/>
  </w:style>
  <w:style w:type="table" w:customStyle="1" w:styleId="TableGrid2">
    <w:name w:val="Table Grid2"/>
    <w:basedOn w:val="TableNormal"/>
    <w:next w:val="TableGrid"/>
    <w:uiPriority w:val="59"/>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C6848"/>
  </w:style>
  <w:style w:type="table" w:customStyle="1" w:styleId="TableGrid3">
    <w:name w:val="Table Grid3"/>
    <w:basedOn w:val="TableNormal"/>
    <w:next w:val="TableGrid"/>
    <w:rsid w:val="001C6848"/>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C6848"/>
  </w:style>
  <w:style w:type="character" w:customStyle="1" w:styleId="ListParagraphChar">
    <w:name w:val="List Paragraph Char"/>
    <w:basedOn w:val="DefaultParagraphFont"/>
    <w:link w:val="ListParagraph"/>
    <w:uiPriority w:val="34"/>
    <w:rsid w:val="001C6848"/>
    <w:rPr>
      <w:rFonts w:ascii="Foundry Sans" w:hAnsi="Foundry Sans"/>
      <w:sz w:val="22"/>
      <w:szCs w:val="24"/>
      <w:lang w:eastAsia="en-US"/>
    </w:rPr>
  </w:style>
  <w:style w:type="numbering" w:customStyle="1" w:styleId="NoList3">
    <w:name w:val="No List3"/>
    <w:next w:val="NoList"/>
    <w:uiPriority w:val="99"/>
    <w:semiHidden/>
    <w:unhideWhenUsed/>
    <w:rsid w:val="002226EF"/>
  </w:style>
  <w:style w:type="table" w:customStyle="1" w:styleId="TableGrid4">
    <w:name w:val="Table Grid4"/>
    <w:basedOn w:val="TableNormal"/>
    <w:next w:val="TableGrid"/>
    <w:rsid w:val="002226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226EF"/>
  </w:style>
  <w:style w:type="paragraph" w:customStyle="1" w:styleId="xl134">
    <w:name w:val="xl134"/>
    <w:basedOn w:val="Normal"/>
    <w:rsid w:val="00C25D35"/>
    <w:pPr>
      <w:spacing w:before="100" w:beforeAutospacing="1" w:after="100" w:afterAutospacing="1" w:line="240" w:lineRule="auto"/>
    </w:pPr>
    <w:rPr>
      <w:b/>
      <w:bCs/>
      <w:sz w:val="20"/>
      <w:szCs w:val="20"/>
      <w:lang w:eastAsia="en-GB"/>
    </w:rPr>
  </w:style>
  <w:style w:type="paragraph" w:customStyle="1" w:styleId="xl135">
    <w:name w:val="xl135"/>
    <w:basedOn w:val="Normal"/>
    <w:rsid w:val="00C25D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0"/>
      <w:szCs w:val="20"/>
      <w:lang w:eastAsia="en-GB"/>
    </w:rPr>
  </w:style>
  <w:style w:type="paragraph" w:customStyle="1" w:styleId="xl136">
    <w:name w:val="xl136"/>
    <w:basedOn w:val="Normal"/>
    <w:rsid w:val="00C25D3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customStyle="1" w:styleId="xl137">
    <w:name w:val="xl137"/>
    <w:basedOn w:val="Normal"/>
    <w:rsid w:val="00C25D35"/>
    <w:pPr>
      <w:pBdr>
        <w:top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138">
    <w:name w:val="xl138"/>
    <w:basedOn w:val="Normal"/>
    <w:rsid w:val="00C25D3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139">
    <w:name w:val="xl139"/>
    <w:basedOn w:val="Normal"/>
    <w:rsid w:val="00C25D3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140">
    <w:name w:val="xl140"/>
    <w:basedOn w:val="Normal"/>
    <w:rsid w:val="00C25D3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141">
    <w:name w:val="xl141"/>
    <w:basedOn w:val="Normal"/>
    <w:rsid w:val="00C25D3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888">
      <w:bodyDiv w:val="1"/>
      <w:marLeft w:val="0"/>
      <w:marRight w:val="0"/>
      <w:marTop w:val="0"/>
      <w:marBottom w:val="0"/>
      <w:divBdr>
        <w:top w:val="none" w:sz="0" w:space="0" w:color="auto"/>
        <w:left w:val="none" w:sz="0" w:space="0" w:color="auto"/>
        <w:bottom w:val="none" w:sz="0" w:space="0" w:color="auto"/>
        <w:right w:val="none" w:sz="0" w:space="0" w:color="auto"/>
      </w:divBdr>
    </w:div>
    <w:div w:id="45613654">
      <w:bodyDiv w:val="1"/>
      <w:marLeft w:val="0"/>
      <w:marRight w:val="0"/>
      <w:marTop w:val="0"/>
      <w:marBottom w:val="0"/>
      <w:divBdr>
        <w:top w:val="none" w:sz="0" w:space="0" w:color="auto"/>
        <w:left w:val="none" w:sz="0" w:space="0" w:color="auto"/>
        <w:bottom w:val="none" w:sz="0" w:space="0" w:color="auto"/>
        <w:right w:val="none" w:sz="0" w:space="0" w:color="auto"/>
      </w:divBdr>
    </w:div>
    <w:div w:id="55974331">
      <w:bodyDiv w:val="1"/>
      <w:marLeft w:val="0"/>
      <w:marRight w:val="0"/>
      <w:marTop w:val="0"/>
      <w:marBottom w:val="0"/>
      <w:divBdr>
        <w:top w:val="none" w:sz="0" w:space="0" w:color="auto"/>
        <w:left w:val="none" w:sz="0" w:space="0" w:color="auto"/>
        <w:bottom w:val="none" w:sz="0" w:space="0" w:color="auto"/>
        <w:right w:val="none" w:sz="0" w:space="0" w:color="auto"/>
      </w:divBdr>
    </w:div>
    <w:div w:id="56828599">
      <w:bodyDiv w:val="1"/>
      <w:marLeft w:val="0"/>
      <w:marRight w:val="0"/>
      <w:marTop w:val="0"/>
      <w:marBottom w:val="0"/>
      <w:divBdr>
        <w:top w:val="none" w:sz="0" w:space="0" w:color="auto"/>
        <w:left w:val="none" w:sz="0" w:space="0" w:color="auto"/>
        <w:bottom w:val="none" w:sz="0" w:space="0" w:color="auto"/>
        <w:right w:val="none" w:sz="0" w:space="0" w:color="auto"/>
      </w:divBdr>
    </w:div>
    <w:div w:id="70348911">
      <w:bodyDiv w:val="1"/>
      <w:marLeft w:val="0"/>
      <w:marRight w:val="0"/>
      <w:marTop w:val="0"/>
      <w:marBottom w:val="0"/>
      <w:divBdr>
        <w:top w:val="none" w:sz="0" w:space="0" w:color="auto"/>
        <w:left w:val="none" w:sz="0" w:space="0" w:color="auto"/>
        <w:bottom w:val="none" w:sz="0" w:space="0" w:color="auto"/>
        <w:right w:val="none" w:sz="0" w:space="0" w:color="auto"/>
      </w:divBdr>
    </w:div>
    <w:div w:id="82536908">
      <w:bodyDiv w:val="1"/>
      <w:marLeft w:val="0"/>
      <w:marRight w:val="0"/>
      <w:marTop w:val="0"/>
      <w:marBottom w:val="0"/>
      <w:divBdr>
        <w:top w:val="none" w:sz="0" w:space="0" w:color="auto"/>
        <w:left w:val="none" w:sz="0" w:space="0" w:color="auto"/>
        <w:bottom w:val="none" w:sz="0" w:space="0" w:color="auto"/>
        <w:right w:val="none" w:sz="0" w:space="0" w:color="auto"/>
      </w:divBdr>
    </w:div>
    <w:div w:id="116264568">
      <w:bodyDiv w:val="1"/>
      <w:marLeft w:val="0"/>
      <w:marRight w:val="0"/>
      <w:marTop w:val="0"/>
      <w:marBottom w:val="0"/>
      <w:divBdr>
        <w:top w:val="none" w:sz="0" w:space="0" w:color="auto"/>
        <w:left w:val="none" w:sz="0" w:space="0" w:color="auto"/>
        <w:bottom w:val="none" w:sz="0" w:space="0" w:color="auto"/>
        <w:right w:val="none" w:sz="0" w:space="0" w:color="auto"/>
      </w:divBdr>
    </w:div>
    <w:div w:id="121507952">
      <w:bodyDiv w:val="1"/>
      <w:marLeft w:val="0"/>
      <w:marRight w:val="0"/>
      <w:marTop w:val="0"/>
      <w:marBottom w:val="0"/>
      <w:divBdr>
        <w:top w:val="none" w:sz="0" w:space="0" w:color="auto"/>
        <w:left w:val="none" w:sz="0" w:space="0" w:color="auto"/>
        <w:bottom w:val="none" w:sz="0" w:space="0" w:color="auto"/>
        <w:right w:val="none" w:sz="0" w:space="0" w:color="auto"/>
      </w:divBdr>
    </w:div>
    <w:div w:id="130903183">
      <w:bodyDiv w:val="1"/>
      <w:marLeft w:val="0"/>
      <w:marRight w:val="0"/>
      <w:marTop w:val="0"/>
      <w:marBottom w:val="0"/>
      <w:divBdr>
        <w:top w:val="none" w:sz="0" w:space="0" w:color="auto"/>
        <w:left w:val="none" w:sz="0" w:space="0" w:color="auto"/>
        <w:bottom w:val="none" w:sz="0" w:space="0" w:color="auto"/>
        <w:right w:val="none" w:sz="0" w:space="0" w:color="auto"/>
      </w:divBdr>
    </w:div>
    <w:div w:id="137889001">
      <w:bodyDiv w:val="1"/>
      <w:marLeft w:val="0"/>
      <w:marRight w:val="0"/>
      <w:marTop w:val="0"/>
      <w:marBottom w:val="0"/>
      <w:divBdr>
        <w:top w:val="none" w:sz="0" w:space="0" w:color="auto"/>
        <w:left w:val="none" w:sz="0" w:space="0" w:color="auto"/>
        <w:bottom w:val="none" w:sz="0" w:space="0" w:color="auto"/>
        <w:right w:val="none" w:sz="0" w:space="0" w:color="auto"/>
      </w:divBdr>
    </w:div>
    <w:div w:id="145972130">
      <w:bodyDiv w:val="1"/>
      <w:marLeft w:val="0"/>
      <w:marRight w:val="0"/>
      <w:marTop w:val="0"/>
      <w:marBottom w:val="0"/>
      <w:divBdr>
        <w:top w:val="none" w:sz="0" w:space="0" w:color="auto"/>
        <w:left w:val="none" w:sz="0" w:space="0" w:color="auto"/>
        <w:bottom w:val="none" w:sz="0" w:space="0" w:color="auto"/>
        <w:right w:val="none" w:sz="0" w:space="0" w:color="auto"/>
      </w:divBdr>
    </w:div>
    <w:div w:id="169688677">
      <w:bodyDiv w:val="1"/>
      <w:marLeft w:val="0"/>
      <w:marRight w:val="0"/>
      <w:marTop w:val="0"/>
      <w:marBottom w:val="0"/>
      <w:divBdr>
        <w:top w:val="none" w:sz="0" w:space="0" w:color="auto"/>
        <w:left w:val="none" w:sz="0" w:space="0" w:color="auto"/>
        <w:bottom w:val="none" w:sz="0" w:space="0" w:color="auto"/>
        <w:right w:val="none" w:sz="0" w:space="0" w:color="auto"/>
      </w:divBdr>
    </w:div>
    <w:div w:id="169688738">
      <w:bodyDiv w:val="1"/>
      <w:marLeft w:val="0"/>
      <w:marRight w:val="0"/>
      <w:marTop w:val="0"/>
      <w:marBottom w:val="0"/>
      <w:divBdr>
        <w:top w:val="none" w:sz="0" w:space="0" w:color="auto"/>
        <w:left w:val="none" w:sz="0" w:space="0" w:color="auto"/>
        <w:bottom w:val="none" w:sz="0" w:space="0" w:color="auto"/>
        <w:right w:val="none" w:sz="0" w:space="0" w:color="auto"/>
      </w:divBdr>
    </w:div>
    <w:div w:id="170604694">
      <w:bodyDiv w:val="1"/>
      <w:marLeft w:val="0"/>
      <w:marRight w:val="0"/>
      <w:marTop w:val="0"/>
      <w:marBottom w:val="0"/>
      <w:divBdr>
        <w:top w:val="none" w:sz="0" w:space="0" w:color="auto"/>
        <w:left w:val="none" w:sz="0" w:space="0" w:color="auto"/>
        <w:bottom w:val="none" w:sz="0" w:space="0" w:color="auto"/>
        <w:right w:val="none" w:sz="0" w:space="0" w:color="auto"/>
      </w:divBdr>
    </w:div>
    <w:div w:id="171647197">
      <w:bodyDiv w:val="1"/>
      <w:marLeft w:val="0"/>
      <w:marRight w:val="0"/>
      <w:marTop w:val="0"/>
      <w:marBottom w:val="0"/>
      <w:divBdr>
        <w:top w:val="none" w:sz="0" w:space="0" w:color="auto"/>
        <w:left w:val="none" w:sz="0" w:space="0" w:color="auto"/>
        <w:bottom w:val="none" w:sz="0" w:space="0" w:color="auto"/>
        <w:right w:val="none" w:sz="0" w:space="0" w:color="auto"/>
      </w:divBdr>
    </w:div>
    <w:div w:id="173887461">
      <w:bodyDiv w:val="1"/>
      <w:marLeft w:val="0"/>
      <w:marRight w:val="0"/>
      <w:marTop w:val="0"/>
      <w:marBottom w:val="0"/>
      <w:divBdr>
        <w:top w:val="none" w:sz="0" w:space="0" w:color="auto"/>
        <w:left w:val="none" w:sz="0" w:space="0" w:color="auto"/>
        <w:bottom w:val="none" w:sz="0" w:space="0" w:color="auto"/>
        <w:right w:val="none" w:sz="0" w:space="0" w:color="auto"/>
      </w:divBdr>
    </w:div>
    <w:div w:id="179665456">
      <w:bodyDiv w:val="1"/>
      <w:marLeft w:val="0"/>
      <w:marRight w:val="0"/>
      <w:marTop w:val="0"/>
      <w:marBottom w:val="0"/>
      <w:divBdr>
        <w:top w:val="none" w:sz="0" w:space="0" w:color="auto"/>
        <w:left w:val="none" w:sz="0" w:space="0" w:color="auto"/>
        <w:bottom w:val="none" w:sz="0" w:space="0" w:color="auto"/>
        <w:right w:val="none" w:sz="0" w:space="0" w:color="auto"/>
      </w:divBdr>
    </w:div>
    <w:div w:id="189757085">
      <w:bodyDiv w:val="1"/>
      <w:marLeft w:val="0"/>
      <w:marRight w:val="0"/>
      <w:marTop w:val="0"/>
      <w:marBottom w:val="0"/>
      <w:divBdr>
        <w:top w:val="none" w:sz="0" w:space="0" w:color="auto"/>
        <w:left w:val="none" w:sz="0" w:space="0" w:color="auto"/>
        <w:bottom w:val="none" w:sz="0" w:space="0" w:color="auto"/>
        <w:right w:val="none" w:sz="0" w:space="0" w:color="auto"/>
      </w:divBdr>
    </w:div>
    <w:div w:id="193033304">
      <w:bodyDiv w:val="1"/>
      <w:marLeft w:val="0"/>
      <w:marRight w:val="0"/>
      <w:marTop w:val="0"/>
      <w:marBottom w:val="0"/>
      <w:divBdr>
        <w:top w:val="none" w:sz="0" w:space="0" w:color="auto"/>
        <w:left w:val="none" w:sz="0" w:space="0" w:color="auto"/>
        <w:bottom w:val="none" w:sz="0" w:space="0" w:color="auto"/>
        <w:right w:val="none" w:sz="0" w:space="0" w:color="auto"/>
      </w:divBdr>
    </w:div>
    <w:div w:id="198015446">
      <w:bodyDiv w:val="1"/>
      <w:marLeft w:val="0"/>
      <w:marRight w:val="0"/>
      <w:marTop w:val="0"/>
      <w:marBottom w:val="0"/>
      <w:divBdr>
        <w:top w:val="none" w:sz="0" w:space="0" w:color="auto"/>
        <w:left w:val="none" w:sz="0" w:space="0" w:color="auto"/>
        <w:bottom w:val="none" w:sz="0" w:space="0" w:color="auto"/>
        <w:right w:val="none" w:sz="0" w:space="0" w:color="auto"/>
      </w:divBdr>
    </w:div>
    <w:div w:id="206842777">
      <w:bodyDiv w:val="1"/>
      <w:marLeft w:val="0"/>
      <w:marRight w:val="0"/>
      <w:marTop w:val="0"/>
      <w:marBottom w:val="0"/>
      <w:divBdr>
        <w:top w:val="none" w:sz="0" w:space="0" w:color="auto"/>
        <w:left w:val="none" w:sz="0" w:space="0" w:color="auto"/>
        <w:bottom w:val="none" w:sz="0" w:space="0" w:color="auto"/>
        <w:right w:val="none" w:sz="0" w:space="0" w:color="auto"/>
      </w:divBdr>
    </w:div>
    <w:div w:id="219559273">
      <w:bodyDiv w:val="1"/>
      <w:marLeft w:val="0"/>
      <w:marRight w:val="0"/>
      <w:marTop w:val="0"/>
      <w:marBottom w:val="0"/>
      <w:divBdr>
        <w:top w:val="none" w:sz="0" w:space="0" w:color="auto"/>
        <w:left w:val="none" w:sz="0" w:space="0" w:color="auto"/>
        <w:bottom w:val="none" w:sz="0" w:space="0" w:color="auto"/>
        <w:right w:val="none" w:sz="0" w:space="0" w:color="auto"/>
      </w:divBdr>
    </w:div>
    <w:div w:id="220144351">
      <w:bodyDiv w:val="1"/>
      <w:marLeft w:val="0"/>
      <w:marRight w:val="0"/>
      <w:marTop w:val="0"/>
      <w:marBottom w:val="0"/>
      <w:divBdr>
        <w:top w:val="none" w:sz="0" w:space="0" w:color="auto"/>
        <w:left w:val="none" w:sz="0" w:space="0" w:color="auto"/>
        <w:bottom w:val="none" w:sz="0" w:space="0" w:color="auto"/>
        <w:right w:val="none" w:sz="0" w:space="0" w:color="auto"/>
      </w:divBdr>
    </w:div>
    <w:div w:id="222110046">
      <w:bodyDiv w:val="1"/>
      <w:marLeft w:val="0"/>
      <w:marRight w:val="0"/>
      <w:marTop w:val="0"/>
      <w:marBottom w:val="0"/>
      <w:divBdr>
        <w:top w:val="none" w:sz="0" w:space="0" w:color="auto"/>
        <w:left w:val="none" w:sz="0" w:space="0" w:color="auto"/>
        <w:bottom w:val="none" w:sz="0" w:space="0" w:color="auto"/>
        <w:right w:val="none" w:sz="0" w:space="0" w:color="auto"/>
      </w:divBdr>
    </w:div>
    <w:div w:id="238952412">
      <w:bodyDiv w:val="1"/>
      <w:marLeft w:val="0"/>
      <w:marRight w:val="0"/>
      <w:marTop w:val="0"/>
      <w:marBottom w:val="0"/>
      <w:divBdr>
        <w:top w:val="none" w:sz="0" w:space="0" w:color="auto"/>
        <w:left w:val="none" w:sz="0" w:space="0" w:color="auto"/>
        <w:bottom w:val="none" w:sz="0" w:space="0" w:color="auto"/>
        <w:right w:val="none" w:sz="0" w:space="0" w:color="auto"/>
      </w:divBdr>
    </w:div>
    <w:div w:id="251360541">
      <w:bodyDiv w:val="1"/>
      <w:marLeft w:val="0"/>
      <w:marRight w:val="0"/>
      <w:marTop w:val="0"/>
      <w:marBottom w:val="0"/>
      <w:divBdr>
        <w:top w:val="none" w:sz="0" w:space="0" w:color="auto"/>
        <w:left w:val="none" w:sz="0" w:space="0" w:color="auto"/>
        <w:bottom w:val="none" w:sz="0" w:space="0" w:color="auto"/>
        <w:right w:val="none" w:sz="0" w:space="0" w:color="auto"/>
      </w:divBdr>
    </w:div>
    <w:div w:id="285695189">
      <w:bodyDiv w:val="1"/>
      <w:marLeft w:val="0"/>
      <w:marRight w:val="0"/>
      <w:marTop w:val="0"/>
      <w:marBottom w:val="0"/>
      <w:divBdr>
        <w:top w:val="none" w:sz="0" w:space="0" w:color="auto"/>
        <w:left w:val="none" w:sz="0" w:space="0" w:color="auto"/>
        <w:bottom w:val="none" w:sz="0" w:space="0" w:color="auto"/>
        <w:right w:val="none" w:sz="0" w:space="0" w:color="auto"/>
      </w:divBdr>
    </w:div>
    <w:div w:id="293877226">
      <w:bodyDiv w:val="1"/>
      <w:marLeft w:val="0"/>
      <w:marRight w:val="0"/>
      <w:marTop w:val="0"/>
      <w:marBottom w:val="0"/>
      <w:divBdr>
        <w:top w:val="none" w:sz="0" w:space="0" w:color="auto"/>
        <w:left w:val="none" w:sz="0" w:space="0" w:color="auto"/>
        <w:bottom w:val="none" w:sz="0" w:space="0" w:color="auto"/>
        <w:right w:val="none" w:sz="0" w:space="0" w:color="auto"/>
      </w:divBdr>
    </w:div>
    <w:div w:id="299922714">
      <w:bodyDiv w:val="1"/>
      <w:marLeft w:val="0"/>
      <w:marRight w:val="0"/>
      <w:marTop w:val="0"/>
      <w:marBottom w:val="0"/>
      <w:divBdr>
        <w:top w:val="none" w:sz="0" w:space="0" w:color="auto"/>
        <w:left w:val="none" w:sz="0" w:space="0" w:color="auto"/>
        <w:bottom w:val="none" w:sz="0" w:space="0" w:color="auto"/>
        <w:right w:val="none" w:sz="0" w:space="0" w:color="auto"/>
      </w:divBdr>
    </w:div>
    <w:div w:id="305473601">
      <w:bodyDiv w:val="1"/>
      <w:marLeft w:val="0"/>
      <w:marRight w:val="0"/>
      <w:marTop w:val="0"/>
      <w:marBottom w:val="0"/>
      <w:divBdr>
        <w:top w:val="none" w:sz="0" w:space="0" w:color="auto"/>
        <w:left w:val="none" w:sz="0" w:space="0" w:color="auto"/>
        <w:bottom w:val="none" w:sz="0" w:space="0" w:color="auto"/>
        <w:right w:val="none" w:sz="0" w:space="0" w:color="auto"/>
      </w:divBdr>
    </w:div>
    <w:div w:id="321813628">
      <w:bodyDiv w:val="1"/>
      <w:marLeft w:val="0"/>
      <w:marRight w:val="0"/>
      <w:marTop w:val="0"/>
      <w:marBottom w:val="0"/>
      <w:divBdr>
        <w:top w:val="none" w:sz="0" w:space="0" w:color="auto"/>
        <w:left w:val="none" w:sz="0" w:space="0" w:color="auto"/>
        <w:bottom w:val="none" w:sz="0" w:space="0" w:color="auto"/>
        <w:right w:val="none" w:sz="0" w:space="0" w:color="auto"/>
      </w:divBdr>
    </w:div>
    <w:div w:id="329791911">
      <w:bodyDiv w:val="1"/>
      <w:marLeft w:val="0"/>
      <w:marRight w:val="0"/>
      <w:marTop w:val="0"/>
      <w:marBottom w:val="0"/>
      <w:divBdr>
        <w:top w:val="none" w:sz="0" w:space="0" w:color="auto"/>
        <w:left w:val="none" w:sz="0" w:space="0" w:color="auto"/>
        <w:bottom w:val="none" w:sz="0" w:space="0" w:color="auto"/>
        <w:right w:val="none" w:sz="0" w:space="0" w:color="auto"/>
      </w:divBdr>
    </w:div>
    <w:div w:id="335614578">
      <w:bodyDiv w:val="1"/>
      <w:marLeft w:val="0"/>
      <w:marRight w:val="0"/>
      <w:marTop w:val="0"/>
      <w:marBottom w:val="0"/>
      <w:divBdr>
        <w:top w:val="none" w:sz="0" w:space="0" w:color="auto"/>
        <w:left w:val="none" w:sz="0" w:space="0" w:color="auto"/>
        <w:bottom w:val="none" w:sz="0" w:space="0" w:color="auto"/>
        <w:right w:val="none" w:sz="0" w:space="0" w:color="auto"/>
      </w:divBdr>
    </w:div>
    <w:div w:id="340090804">
      <w:bodyDiv w:val="1"/>
      <w:marLeft w:val="0"/>
      <w:marRight w:val="0"/>
      <w:marTop w:val="0"/>
      <w:marBottom w:val="0"/>
      <w:divBdr>
        <w:top w:val="none" w:sz="0" w:space="0" w:color="auto"/>
        <w:left w:val="none" w:sz="0" w:space="0" w:color="auto"/>
        <w:bottom w:val="none" w:sz="0" w:space="0" w:color="auto"/>
        <w:right w:val="none" w:sz="0" w:space="0" w:color="auto"/>
      </w:divBdr>
    </w:div>
    <w:div w:id="371808377">
      <w:bodyDiv w:val="1"/>
      <w:marLeft w:val="0"/>
      <w:marRight w:val="0"/>
      <w:marTop w:val="0"/>
      <w:marBottom w:val="0"/>
      <w:divBdr>
        <w:top w:val="none" w:sz="0" w:space="0" w:color="auto"/>
        <w:left w:val="none" w:sz="0" w:space="0" w:color="auto"/>
        <w:bottom w:val="none" w:sz="0" w:space="0" w:color="auto"/>
        <w:right w:val="none" w:sz="0" w:space="0" w:color="auto"/>
      </w:divBdr>
    </w:div>
    <w:div w:id="381249854">
      <w:bodyDiv w:val="1"/>
      <w:marLeft w:val="0"/>
      <w:marRight w:val="0"/>
      <w:marTop w:val="0"/>
      <w:marBottom w:val="0"/>
      <w:divBdr>
        <w:top w:val="none" w:sz="0" w:space="0" w:color="auto"/>
        <w:left w:val="none" w:sz="0" w:space="0" w:color="auto"/>
        <w:bottom w:val="none" w:sz="0" w:space="0" w:color="auto"/>
        <w:right w:val="none" w:sz="0" w:space="0" w:color="auto"/>
      </w:divBdr>
    </w:div>
    <w:div w:id="390278548">
      <w:bodyDiv w:val="1"/>
      <w:marLeft w:val="0"/>
      <w:marRight w:val="0"/>
      <w:marTop w:val="0"/>
      <w:marBottom w:val="0"/>
      <w:divBdr>
        <w:top w:val="none" w:sz="0" w:space="0" w:color="auto"/>
        <w:left w:val="none" w:sz="0" w:space="0" w:color="auto"/>
        <w:bottom w:val="none" w:sz="0" w:space="0" w:color="auto"/>
        <w:right w:val="none" w:sz="0" w:space="0" w:color="auto"/>
      </w:divBdr>
    </w:div>
    <w:div w:id="441924102">
      <w:bodyDiv w:val="1"/>
      <w:marLeft w:val="0"/>
      <w:marRight w:val="0"/>
      <w:marTop w:val="0"/>
      <w:marBottom w:val="0"/>
      <w:divBdr>
        <w:top w:val="none" w:sz="0" w:space="0" w:color="auto"/>
        <w:left w:val="none" w:sz="0" w:space="0" w:color="auto"/>
        <w:bottom w:val="none" w:sz="0" w:space="0" w:color="auto"/>
        <w:right w:val="none" w:sz="0" w:space="0" w:color="auto"/>
      </w:divBdr>
    </w:div>
    <w:div w:id="442650480">
      <w:bodyDiv w:val="1"/>
      <w:marLeft w:val="0"/>
      <w:marRight w:val="0"/>
      <w:marTop w:val="0"/>
      <w:marBottom w:val="0"/>
      <w:divBdr>
        <w:top w:val="none" w:sz="0" w:space="0" w:color="auto"/>
        <w:left w:val="none" w:sz="0" w:space="0" w:color="auto"/>
        <w:bottom w:val="none" w:sz="0" w:space="0" w:color="auto"/>
        <w:right w:val="none" w:sz="0" w:space="0" w:color="auto"/>
      </w:divBdr>
    </w:div>
    <w:div w:id="467285583">
      <w:bodyDiv w:val="1"/>
      <w:marLeft w:val="0"/>
      <w:marRight w:val="0"/>
      <w:marTop w:val="0"/>
      <w:marBottom w:val="0"/>
      <w:divBdr>
        <w:top w:val="none" w:sz="0" w:space="0" w:color="auto"/>
        <w:left w:val="none" w:sz="0" w:space="0" w:color="auto"/>
        <w:bottom w:val="none" w:sz="0" w:space="0" w:color="auto"/>
        <w:right w:val="none" w:sz="0" w:space="0" w:color="auto"/>
      </w:divBdr>
    </w:div>
    <w:div w:id="472413166">
      <w:bodyDiv w:val="1"/>
      <w:marLeft w:val="0"/>
      <w:marRight w:val="0"/>
      <w:marTop w:val="0"/>
      <w:marBottom w:val="0"/>
      <w:divBdr>
        <w:top w:val="none" w:sz="0" w:space="0" w:color="auto"/>
        <w:left w:val="none" w:sz="0" w:space="0" w:color="auto"/>
        <w:bottom w:val="none" w:sz="0" w:space="0" w:color="auto"/>
        <w:right w:val="none" w:sz="0" w:space="0" w:color="auto"/>
      </w:divBdr>
    </w:div>
    <w:div w:id="481119021">
      <w:bodyDiv w:val="1"/>
      <w:marLeft w:val="0"/>
      <w:marRight w:val="0"/>
      <w:marTop w:val="0"/>
      <w:marBottom w:val="0"/>
      <w:divBdr>
        <w:top w:val="none" w:sz="0" w:space="0" w:color="auto"/>
        <w:left w:val="none" w:sz="0" w:space="0" w:color="auto"/>
        <w:bottom w:val="none" w:sz="0" w:space="0" w:color="auto"/>
        <w:right w:val="none" w:sz="0" w:space="0" w:color="auto"/>
      </w:divBdr>
    </w:div>
    <w:div w:id="500892070">
      <w:bodyDiv w:val="1"/>
      <w:marLeft w:val="0"/>
      <w:marRight w:val="0"/>
      <w:marTop w:val="0"/>
      <w:marBottom w:val="0"/>
      <w:divBdr>
        <w:top w:val="none" w:sz="0" w:space="0" w:color="auto"/>
        <w:left w:val="none" w:sz="0" w:space="0" w:color="auto"/>
        <w:bottom w:val="none" w:sz="0" w:space="0" w:color="auto"/>
        <w:right w:val="none" w:sz="0" w:space="0" w:color="auto"/>
      </w:divBdr>
    </w:div>
    <w:div w:id="503516570">
      <w:bodyDiv w:val="1"/>
      <w:marLeft w:val="0"/>
      <w:marRight w:val="0"/>
      <w:marTop w:val="0"/>
      <w:marBottom w:val="0"/>
      <w:divBdr>
        <w:top w:val="none" w:sz="0" w:space="0" w:color="auto"/>
        <w:left w:val="none" w:sz="0" w:space="0" w:color="auto"/>
        <w:bottom w:val="none" w:sz="0" w:space="0" w:color="auto"/>
        <w:right w:val="none" w:sz="0" w:space="0" w:color="auto"/>
      </w:divBdr>
    </w:div>
    <w:div w:id="531696830">
      <w:bodyDiv w:val="1"/>
      <w:marLeft w:val="0"/>
      <w:marRight w:val="0"/>
      <w:marTop w:val="0"/>
      <w:marBottom w:val="0"/>
      <w:divBdr>
        <w:top w:val="none" w:sz="0" w:space="0" w:color="auto"/>
        <w:left w:val="none" w:sz="0" w:space="0" w:color="auto"/>
        <w:bottom w:val="none" w:sz="0" w:space="0" w:color="auto"/>
        <w:right w:val="none" w:sz="0" w:space="0" w:color="auto"/>
      </w:divBdr>
    </w:div>
    <w:div w:id="555165599">
      <w:bodyDiv w:val="1"/>
      <w:marLeft w:val="0"/>
      <w:marRight w:val="0"/>
      <w:marTop w:val="0"/>
      <w:marBottom w:val="0"/>
      <w:divBdr>
        <w:top w:val="none" w:sz="0" w:space="0" w:color="auto"/>
        <w:left w:val="none" w:sz="0" w:space="0" w:color="auto"/>
        <w:bottom w:val="none" w:sz="0" w:space="0" w:color="auto"/>
        <w:right w:val="none" w:sz="0" w:space="0" w:color="auto"/>
      </w:divBdr>
    </w:div>
    <w:div w:id="559246950">
      <w:bodyDiv w:val="1"/>
      <w:marLeft w:val="0"/>
      <w:marRight w:val="0"/>
      <w:marTop w:val="0"/>
      <w:marBottom w:val="0"/>
      <w:divBdr>
        <w:top w:val="none" w:sz="0" w:space="0" w:color="auto"/>
        <w:left w:val="none" w:sz="0" w:space="0" w:color="auto"/>
        <w:bottom w:val="none" w:sz="0" w:space="0" w:color="auto"/>
        <w:right w:val="none" w:sz="0" w:space="0" w:color="auto"/>
      </w:divBdr>
    </w:div>
    <w:div w:id="572131045">
      <w:bodyDiv w:val="1"/>
      <w:marLeft w:val="0"/>
      <w:marRight w:val="0"/>
      <w:marTop w:val="0"/>
      <w:marBottom w:val="0"/>
      <w:divBdr>
        <w:top w:val="none" w:sz="0" w:space="0" w:color="auto"/>
        <w:left w:val="none" w:sz="0" w:space="0" w:color="auto"/>
        <w:bottom w:val="none" w:sz="0" w:space="0" w:color="auto"/>
        <w:right w:val="none" w:sz="0" w:space="0" w:color="auto"/>
      </w:divBdr>
    </w:div>
    <w:div w:id="574365718">
      <w:bodyDiv w:val="1"/>
      <w:marLeft w:val="0"/>
      <w:marRight w:val="0"/>
      <w:marTop w:val="0"/>
      <w:marBottom w:val="0"/>
      <w:divBdr>
        <w:top w:val="none" w:sz="0" w:space="0" w:color="auto"/>
        <w:left w:val="none" w:sz="0" w:space="0" w:color="auto"/>
        <w:bottom w:val="none" w:sz="0" w:space="0" w:color="auto"/>
        <w:right w:val="none" w:sz="0" w:space="0" w:color="auto"/>
      </w:divBdr>
    </w:div>
    <w:div w:id="578053988">
      <w:bodyDiv w:val="1"/>
      <w:marLeft w:val="0"/>
      <w:marRight w:val="0"/>
      <w:marTop w:val="0"/>
      <w:marBottom w:val="0"/>
      <w:divBdr>
        <w:top w:val="none" w:sz="0" w:space="0" w:color="auto"/>
        <w:left w:val="none" w:sz="0" w:space="0" w:color="auto"/>
        <w:bottom w:val="none" w:sz="0" w:space="0" w:color="auto"/>
        <w:right w:val="none" w:sz="0" w:space="0" w:color="auto"/>
      </w:divBdr>
    </w:div>
    <w:div w:id="580333930">
      <w:bodyDiv w:val="1"/>
      <w:marLeft w:val="0"/>
      <w:marRight w:val="0"/>
      <w:marTop w:val="0"/>
      <w:marBottom w:val="0"/>
      <w:divBdr>
        <w:top w:val="none" w:sz="0" w:space="0" w:color="auto"/>
        <w:left w:val="none" w:sz="0" w:space="0" w:color="auto"/>
        <w:bottom w:val="none" w:sz="0" w:space="0" w:color="auto"/>
        <w:right w:val="none" w:sz="0" w:space="0" w:color="auto"/>
      </w:divBdr>
    </w:div>
    <w:div w:id="594753129">
      <w:bodyDiv w:val="1"/>
      <w:marLeft w:val="0"/>
      <w:marRight w:val="0"/>
      <w:marTop w:val="0"/>
      <w:marBottom w:val="0"/>
      <w:divBdr>
        <w:top w:val="none" w:sz="0" w:space="0" w:color="auto"/>
        <w:left w:val="none" w:sz="0" w:space="0" w:color="auto"/>
        <w:bottom w:val="none" w:sz="0" w:space="0" w:color="auto"/>
        <w:right w:val="none" w:sz="0" w:space="0" w:color="auto"/>
      </w:divBdr>
    </w:div>
    <w:div w:id="604307620">
      <w:bodyDiv w:val="1"/>
      <w:marLeft w:val="0"/>
      <w:marRight w:val="0"/>
      <w:marTop w:val="0"/>
      <w:marBottom w:val="0"/>
      <w:divBdr>
        <w:top w:val="none" w:sz="0" w:space="0" w:color="auto"/>
        <w:left w:val="none" w:sz="0" w:space="0" w:color="auto"/>
        <w:bottom w:val="none" w:sz="0" w:space="0" w:color="auto"/>
        <w:right w:val="none" w:sz="0" w:space="0" w:color="auto"/>
      </w:divBdr>
    </w:div>
    <w:div w:id="616182276">
      <w:bodyDiv w:val="1"/>
      <w:marLeft w:val="0"/>
      <w:marRight w:val="0"/>
      <w:marTop w:val="0"/>
      <w:marBottom w:val="0"/>
      <w:divBdr>
        <w:top w:val="none" w:sz="0" w:space="0" w:color="auto"/>
        <w:left w:val="none" w:sz="0" w:space="0" w:color="auto"/>
        <w:bottom w:val="none" w:sz="0" w:space="0" w:color="auto"/>
        <w:right w:val="none" w:sz="0" w:space="0" w:color="auto"/>
      </w:divBdr>
    </w:div>
    <w:div w:id="616571181">
      <w:bodyDiv w:val="1"/>
      <w:marLeft w:val="0"/>
      <w:marRight w:val="0"/>
      <w:marTop w:val="0"/>
      <w:marBottom w:val="0"/>
      <w:divBdr>
        <w:top w:val="none" w:sz="0" w:space="0" w:color="auto"/>
        <w:left w:val="none" w:sz="0" w:space="0" w:color="auto"/>
        <w:bottom w:val="none" w:sz="0" w:space="0" w:color="auto"/>
        <w:right w:val="none" w:sz="0" w:space="0" w:color="auto"/>
      </w:divBdr>
    </w:div>
    <w:div w:id="625041455">
      <w:bodyDiv w:val="1"/>
      <w:marLeft w:val="0"/>
      <w:marRight w:val="0"/>
      <w:marTop w:val="0"/>
      <w:marBottom w:val="0"/>
      <w:divBdr>
        <w:top w:val="none" w:sz="0" w:space="0" w:color="auto"/>
        <w:left w:val="none" w:sz="0" w:space="0" w:color="auto"/>
        <w:bottom w:val="none" w:sz="0" w:space="0" w:color="auto"/>
        <w:right w:val="none" w:sz="0" w:space="0" w:color="auto"/>
      </w:divBdr>
    </w:div>
    <w:div w:id="647172100">
      <w:bodyDiv w:val="1"/>
      <w:marLeft w:val="0"/>
      <w:marRight w:val="0"/>
      <w:marTop w:val="0"/>
      <w:marBottom w:val="0"/>
      <w:divBdr>
        <w:top w:val="none" w:sz="0" w:space="0" w:color="auto"/>
        <w:left w:val="none" w:sz="0" w:space="0" w:color="auto"/>
        <w:bottom w:val="none" w:sz="0" w:space="0" w:color="auto"/>
        <w:right w:val="none" w:sz="0" w:space="0" w:color="auto"/>
      </w:divBdr>
    </w:div>
    <w:div w:id="682827409">
      <w:bodyDiv w:val="1"/>
      <w:marLeft w:val="0"/>
      <w:marRight w:val="0"/>
      <w:marTop w:val="0"/>
      <w:marBottom w:val="0"/>
      <w:divBdr>
        <w:top w:val="none" w:sz="0" w:space="0" w:color="auto"/>
        <w:left w:val="none" w:sz="0" w:space="0" w:color="auto"/>
        <w:bottom w:val="none" w:sz="0" w:space="0" w:color="auto"/>
        <w:right w:val="none" w:sz="0" w:space="0" w:color="auto"/>
      </w:divBdr>
    </w:div>
    <w:div w:id="708577970">
      <w:bodyDiv w:val="1"/>
      <w:marLeft w:val="0"/>
      <w:marRight w:val="0"/>
      <w:marTop w:val="0"/>
      <w:marBottom w:val="0"/>
      <w:divBdr>
        <w:top w:val="none" w:sz="0" w:space="0" w:color="auto"/>
        <w:left w:val="none" w:sz="0" w:space="0" w:color="auto"/>
        <w:bottom w:val="none" w:sz="0" w:space="0" w:color="auto"/>
        <w:right w:val="none" w:sz="0" w:space="0" w:color="auto"/>
      </w:divBdr>
    </w:div>
    <w:div w:id="740323840">
      <w:bodyDiv w:val="1"/>
      <w:marLeft w:val="0"/>
      <w:marRight w:val="0"/>
      <w:marTop w:val="0"/>
      <w:marBottom w:val="0"/>
      <w:divBdr>
        <w:top w:val="none" w:sz="0" w:space="0" w:color="auto"/>
        <w:left w:val="none" w:sz="0" w:space="0" w:color="auto"/>
        <w:bottom w:val="none" w:sz="0" w:space="0" w:color="auto"/>
        <w:right w:val="none" w:sz="0" w:space="0" w:color="auto"/>
      </w:divBdr>
    </w:div>
    <w:div w:id="770129602">
      <w:bodyDiv w:val="1"/>
      <w:marLeft w:val="0"/>
      <w:marRight w:val="0"/>
      <w:marTop w:val="0"/>
      <w:marBottom w:val="0"/>
      <w:divBdr>
        <w:top w:val="none" w:sz="0" w:space="0" w:color="auto"/>
        <w:left w:val="none" w:sz="0" w:space="0" w:color="auto"/>
        <w:bottom w:val="none" w:sz="0" w:space="0" w:color="auto"/>
        <w:right w:val="none" w:sz="0" w:space="0" w:color="auto"/>
      </w:divBdr>
    </w:div>
    <w:div w:id="773014296">
      <w:bodyDiv w:val="1"/>
      <w:marLeft w:val="0"/>
      <w:marRight w:val="0"/>
      <w:marTop w:val="0"/>
      <w:marBottom w:val="0"/>
      <w:divBdr>
        <w:top w:val="none" w:sz="0" w:space="0" w:color="auto"/>
        <w:left w:val="none" w:sz="0" w:space="0" w:color="auto"/>
        <w:bottom w:val="none" w:sz="0" w:space="0" w:color="auto"/>
        <w:right w:val="none" w:sz="0" w:space="0" w:color="auto"/>
      </w:divBdr>
    </w:div>
    <w:div w:id="776872780">
      <w:bodyDiv w:val="1"/>
      <w:marLeft w:val="0"/>
      <w:marRight w:val="0"/>
      <w:marTop w:val="0"/>
      <w:marBottom w:val="0"/>
      <w:divBdr>
        <w:top w:val="none" w:sz="0" w:space="0" w:color="auto"/>
        <w:left w:val="none" w:sz="0" w:space="0" w:color="auto"/>
        <w:bottom w:val="none" w:sz="0" w:space="0" w:color="auto"/>
        <w:right w:val="none" w:sz="0" w:space="0" w:color="auto"/>
      </w:divBdr>
    </w:div>
    <w:div w:id="778647803">
      <w:bodyDiv w:val="1"/>
      <w:marLeft w:val="0"/>
      <w:marRight w:val="0"/>
      <w:marTop w:val="0"/>
      <w:marBottom w:val="0"/>
      <w:divBdr>
        <w:top w:val="none" w:sz="0" w:space="0" w:color="auto"/>
        <w:left w:val="none" w:sz="0" w:space="0" w:color="auto"/>
        <w:bottom w:val="none" w:sz="0" w:space="0" w:color="auto"/>
        <w:right w:val="none" w:sz="0" w:space="0" w:color="auto"/>
      </w:divBdr>
    </w:div>
    <w:div w:id="782189149">
      <w:bodyDiv w:val="1"/>
      <w:marLeft w:val="0"/>
      <w:marRight w:val="0"/>
      <w:marTop w:val="0"/>
      <w:marBottom w:val="0"/>
      <w:divBdr>
        <w:top w:val="none" w:sz="0" w:space="0" w:color="auto"/>
        <w:left w:val="none" w:sz="0" w:space="0" w:color="auto"/>
        <w:bottom w:val="none" w:sz="0" w:space="0" w:color="auto"/>
        <w:right w:val="none" w:sz="0" w:space="0" w:color="auto"/>
      </w:divBdr>
    </w:div>
    <w:div w:id="782457190">
      <w:bodyDiv w:val="1"/>
      <w:marLeft w:val="0"/>
      <w:marRight w:val="0"/>
      <w:marTop w:val="0"/>
      <w:marBottom w:val="0"/>
      <w:divBdr>
        <w:top w:val="none" w:sz="0" w:space="0" w:color="auto"/>
        <w:left w:val="none" w:sz="0" w:space="0" w:color="auto"/>
        <w:bottom w:val="none" w:sz="0" w:space="0" w:color="auto"/>
        <w:right w:val="none" w:sz="0" w:space="0" w:color="auto"/>
      </w:divBdr>
    </w:div>
    <w:div w:id="790515959">
      <w:bodyDiv w:val="1"/>
      <w:marLeft w:val="0"/>
      <w:marRight w:val="0"/>
      <w:marTop w:val="0"/>
      <w:marBottom w:val="0"/>
      <w:divBdr>
        <w:top w:val="none" w:sz="0" w:space="0" w:color="auto"/>
        <w:left w:val="none" w:sz="0" w:space="0" w:color="auto"/>
        <w:bottom w:val="none" w:sz="0" w:space="0" w:color="auto"/>
        <w:right w:val="none" w:sz="0" w:space="0" w:color="auto"/>
      </w:divBdr>
    </w:div>
    <w:div w:id="795223475">
      <w:bodyDiv w:val="1"/>
      <w:marLeft w:val="0"/>
      <w:marRight w:val="0"/>
      <w:marTop w:val="0"/>
      <w:marBottom w:val="0"/>
      <w:divBdr>
        <w:top w:val="none" w:sz="0" w:space="0" w:color="auto"/>
        <w:left w:val="none" w:sz="0" w:space="0" w:color="auto"/>
        <w:bottom w:val="none" w:sz="0" w:space="0" w:color="auto"/>
        <w:right w:val="none" w:sz="0" w:space="0" w:color="auto"/>
      </w:divBdr>
    </w:div>
    <w:div w:id="831991665">
      <w:bodyDiv w:val="1"/>
      <w:marLeft w:val="0"/>
      <w:marRight w:val="0"/>
      <w:marTop w:val="0"/>
      <w:marBottom w:val="0"/>
      <w:divBdr>
        <w:top w:val="none" w:sz="0" w:space="0" w:color="auto"/>
        <w:left w:val="none" w:sz="0" w:space="0" w:color="auto"/>
        <w:bottom w:val="none" w:sz="0" w:space="0" w:color="auto"/>
        <w:right w:val="none" w:sz="0" w:space="0" w:color="auto"/>
      </w:divBdr>
    </w:div>
    <w:div w:id="851727167">
      <w:bodyDiv w:val="1"/>
      <w:marLeft w:val="0"/>
      <w:marRight w:val="0"/>
      <w:marTop w:val="0"/>
      <w:marBottom w:val="0"/>
      <w:divBdr>
        <w:top w:val="none" w:sz="0" w:space="0" w:color="auto"/>
        <w:left w:val="none" w:sz="0" w:space="0" w:color="auto"/>
        <w:bottom w:val="none" w:sz="0" w:space="0" w:color="auto"/>
        <w:right w:val="none" w:sz="0" w:space="0" w:color="auto"/>
      </w:divBdr>
    </w:div>
    <w:div w:id="866411143">
      <w:bodyDiv w:val="1"/>
      <w:marLeft w:val="0"/>
      <w:marRight w:val="0"/>
      <w:marTop w:val="0"/>
      <w:marBottom w:val="0"/>
      <w:divBdr>
        <w:top w:val="none" w:sz="0" w:space="0" w:color="auto"/>
        <w:left w:val="none" w:sz="0" w:space="0" w:color="auto"/>
        <w:bottom w:val="none" w:sz="0" w:space="0" w:color="auto"/>
        <w:right w:val="none" w:sz="0" w:space="0" w:color="auto"/>
      </w:divBdr>
    </w:div>
    <w:div w:id="866991711">
      <w:bodyDiv w:val="1"/>
      <w:marLeft w:val="0"/>
      <w:marRight w:val="0"/>
      <w:marTop w:val="0"/>
      <w:marBottom w:val="0"/>
      <w:divBdr>
        <w:top w:val="none" w:sz="0" w:space="0" w:color="auto"/>
        <w:left w:val="none" w:sz="0" w:space="0" w:color="auto"/>
        <w:bottom w:val="none" w:sz="0" w:space="0" w:color="auto"/>
        <w:right w:val="none" w:sz="0" w:space="0" w:color="auto"/>
      </w:divBdr>
    </w:div>
    <w:div w:id="896164207">
      <w:bodyDiv w:val="1"/>
      <w:marLeft w:val="0"/>
      <w:marRight w:val="0"/>
      <w:marTop w:val="0"/>
      <w:marBottom w:val="0"/>
      <w:divBdr>
        <w:top w:val="none" w:sz="0" w:space="0" w:color="auto"/>
        <w:left w:val="none" w:sz="0" w:space="0" w:color="auto"/>
        <w:bottom w:val="none" w:sz="0" w:space="0" w:color="auto"/>
        <w:right w:val="none" w:sz="0" w:space="0" w:color="auto"/>
      </w:divBdr>
    </w:div>
    <w:div w:id="896167613">
      <w:bodyDiv w:val="1"/>
      <w:marLeft w:val="0"/>
      <w:marRight w:val="0"/>
      <w:marTop w:val="0"/>
      <w:marBottom w:val="0"/>
      <w:divBdr>
        <w:top w:val="none" w:sz="0" w:space="0" w:color="auto"/>
        <w:left w:val="none" w:sz="0" w:space="0" w:color="auto"/>
        <w:bottom w:val="none" w:sz="0" w:space="0" w:color="auto"/>
        <w:right w:val="none" w:sz="0" w:space="0" w:color="auto"/>
      </w:divBdr>
    </w:div>
    <w:div w:id="901670591">
      <w:bodyDiv w:val="1"/>
      <w:marLeft w:val="0"/>
      <w:marRight w:val="0"/>
      <w:marTop w:val="0"/>
      <w:marBottom w:val="0"/>
      <w:divBdr>
        <w:top w:val="none" w:sz="0" w:space="0" w:color="auto"/>
        <w:left w:val="none" w:sz="0" w:space="0" w:color="auto"/>
        <w:bottom w:val="none" w:sz="0" w:space="0" w:color="auto"/>
        <w:right w:val="none" w:sz="0" w:space="0" w:color="auto"/>
      </w:divBdr>
    </w:div>
    <w:div w:id="902562629">
      <w:bodyDiv w:val="1"/>
      <w:marLeft w:val="0"/>
      <w:marRight w:val="0"/>
      <w:marTop w:val="0"/>
      <w:marBottom w:val="0"/>
      <w:divBdr>
        <w:top w:val="none" w:sz="0" w:space="0" w:color="auto"/>
        <w:left w:val="none" w:sz="0" w:space="0" w:color="auto"/>
        <w:bottom w:val="none" w:sz="0" w:space="0" w:color="auto"/>
        <w:right w:val="none" w:sz="0" w:space="0" w:color="auto"/>
      </w:divBdr>
    </w:div>
    <w:div w:id="903953568">
      <w:bodyDiv w:val="1"/>
      <w:marLeft w:val="0"/>
      <w:marRight w:val="0"/>
      <w:marTop w:val="0"/>
      <w:marBottom w:val="0"/>
      <w:divBdr>
        <w:top w:val="none" w:sz="0" w:space="0" w:color="auto"/>
        <w:left w:val="none" w:sz="0" w:space="0" w:color="auto"/>
        <w:bottom w:val="none" w:sz="0" w:space="0" w:color="auto"/>
        <w:right w:val="none" w:sz="0" w:space="0" w:color="auto"/>
      </w:divBdr>
    </w:div>
    <w:div w:id="942297464">
      <w:bodyDiv w:val="1"/>
      <w:marLeft w:val="0"/>
      <w:marRight w:val="0"/>
      <w:marTop w:val="0"/>
      <w:marBottom w:val="0"/>
      <w:divBdr>
        <w:top w:val="none" w:sz="0" w:space="0" w:color="auto"/>
        <w:left w:val="none" w:sz="0" w:space="0" w:color="auto"/>
        <w:bottom w:val="none" w:sz="0" w:space="0" w:color="auto"/>
        <w:right w:val="none" w:sz="0" w:space="0" w:color="auto"/>
      </w:divBdr>
    </w:div>
    <w:div w:id="951714073">
      <w:bodyDiv w:val="1"/>
      <w:marLeft w:val="0"/>
      <w:marRight w:val="0"/>
      <w:marTop w:val="0"/>
      <w:marBottom w:val="0"/>
      <w:divBdr>
        <w:top w:val="none" w:sz="0" w:space="0" w:color="auto"/>
        <w:left w:val="none" w:sz="0" w:space="0" w:color="auto"/>
        <w:bottom w:val="none" w:sz="0" w:space="0" w:color="auto"/>
        <w:right w:val="none" w:sz="0" w:space="0" w:color="auto"/>
      </w:divBdr>
    </w:div>
    <w:div w:id="961812457">
      <w:bodyDiv w:val="1"/>
      <w:marLeft w:val="0"/>
      <w:marRight w:val="0"/>
      <w:marTop w:val="0"/>
      <w:marBottom w:val="0"/>
      <w:divBdr>
        <w:top w:val="none" w:sz="0" w:space="0" w:color="auto"/>
        <w:left w:val="none" w:sz="0" w:space="0" w:color="auto"/>
        <w:bottom w:val="none" w:sz="0" w:space="0" w:color="auto"/>
        <w:right w:val="none" w:sz="0" w:space="0" w:color="auto"/>
      </w:divBdr>
    </w:div>
    <w:div w:id="991257409">
      <w:bodyDiv w:val="1"/>
      <w:marLeft w:val="0"/>
      <w:marRight w:val="0"/>
      <w:marTop w:val="0"/>
      <w:marBottom w:val="0"/>
      <w:divBdr>
        <w:top w:val="none" w:sz="0" w:space="0" w:color="auto"/>
        <w:left w:val="none" w:sz="0" w:space="0" w:color="auto"/>
        <w:bottom w:val="none" w:sz="0" w:space="0" w:color="auto"/>
        <w:right w:val="none" w:sz="0" w:space="0" w:color="auto"/>
      </w:divBdr>
    </w:div>
    <w:div w:id="992372615">
      <w:bodyDiv w:val="1"/>
      <w:marLeft w:val="0"/>
      <w:marRight w:val="0"/>
      <w:marTop w:val="0"/>
      <w:marBottom w:val="0"/>
      <w:divBdr>
        <w:top w:val="none" w:sz="0" w:space="0" w:color="auto"/>
        <w:left w:val="none" w:sz="0" w:space="0" w:color="auto"/>
        <w:bottom w:val="none" w:sz="0" w:space="0" w:color="auto"/>
        <w:right w:val="none" w:sz="0" w:space="0" w:color="auto"/>
      </w:divBdr>
    </w:div>
    <w:div w:id="1001742003">
      <w:bodyDiv w:val="1"/>
      <w:marLeft w:val="0"/>
      <w:marRight w:val="0"/>
      <w:marTop w:val="0"/>
      <w:marBottom w:val="0"/>
      <w:divBdr>
        <w:top w:val="none" w:sz="0" w:space="0" w:color="auto"/>
        <w:left w:val="none" w:sz="0" w:space="0" w:color="auto"/>
        <w:bottom w:val="none" w:sz="0" w:space="0" w:color="auto"/>
        <w:right w:val="none" w:sz="0" w:space="0" w:color="auto"/>
      </w:divBdr>
    </w:div>
    <w:div w:id="1007515605">
      <w:bodyDiv w:val="1"/>
      <w:marLeft w:val="0"/>
      <w:marRight w:val="0"/>
      <w:marTop w:val="0"/>
      <w:marBottom w:val="0"/>
      <w:divBdr>
        <w:top w:val="none" w:sz="0" w:space="0" w:color="auto"/>
        <w:left w:val="none" w:sz="0" w:space="0" w:color="auto"/>
        <w:bottom w:val="none" w:sz="0" w:space="0" w:color="auto"/>
        <w:right w:val="none" w:sz="0" w:space="0" w:color="auto"/>
      </w:divBdr>
    </w:div>
    <w:div w:id="1009210444">
      <w:bodyDiv w:val="1"/>
      <w:marLeft w:val="0"/>
      <w:marRight w:val="0"/>
      <w:marTop w:val="0"/>
      <w:marBottom w:val="0"/>
      <w:divBdr>
        <w:top w:val="none" w:sz="0" w:space="0" w:color="auto"/>
        <w:left w:val="none" w:sz="0" w:space="0" w:color="auto"/>
        <w:bottom w:val="none" w:sz="0" w:space="0" w:color="auto"/>
        <w:right w:val="none" w:sz="0" w:space="0" w:color="auto"/>
      </w:divBdr>
    </w:div>
    <w:div w:id="1034190367">
      <w:bodyDiv w:val="1"/>
      <w:marLeft w:val="0"/>
      <w:marRight w:val="0"/>
      <w:marTop w:val="0"/>
      <w:marBottom w:val="0"/>
      <w:divBdr>
        <w:top w:val="none" w:sz="0" w:space="0" w:color="auto"/>
        <w:left w:val="none" w:sz="0" w:space="0" w:color="auto"/>
        <w:bottom w:val="none" w:sz="0" w:space="0" w:color="auto"/>
        <w:right w:val="none" w:sz="0" w:space="0" w:color="auto"/>
      </w:divBdr>
    </w:div>
    <w:div w:id="1044526124">
      <w:bodyDiv w:val="1"/>
      <w:marLeft w:val="0"/>
      <w:marRight w:val="0"/>
      <w:marTop w:val="0"/>
      <w:marBottom w:val="0"/>
      <w:divBdr>
        <w:top w:val="none" w:sz="0" w:space="0" w:color="auto"/>
        <w:left w:val="none" w:sz="0" w:space="0" w:color="auto"/>
        <w:bottom w:val="none" w:sz="0" w:space="0" w:color="auto"/>
        <w:right w:val="none" w:sz="0" w:space="0" w:color="auto"/>
      </w:divBdr>
    </w:div>
    <w:div w:id="1046292601">
      <w:bodyDiv w:val="1"/>
      <w:marLeft w:val="0"/>
      <w:marRight w:val="0"/>
      <w:marTop w:val="0"/>
      <w:marBottom w:val="0"/>
      <w:divBdr>
        <w:top w:val="none" w:sz="0" w:space="0" w:color="auto"/>
        <w:left w:val="none" w:sz="0" w:space="0" w:color="auto"/>
        <w:bottom w:val="none" w:sz="0" w:space="0" w:color="auto"/>
        <w:right w:val="none" w:sz="0" w:space="0" w:color="auto"/>
      </w:divBdr>
    </w:div>
    <w:div w:id="1065951755">
      <w:bodyDiv w:val="1"/>
      <w:marLeft w:val="0"/>
      <w:marRight w:val="0"/>
      <w:marTop w:val="0"/>
      <w:marBottom w:val="0"/>
      <w:divBdr>
        <w:top w:val="none" w:sz="0" w:space="0" w:color="auto"/>
        <w:left w:val="none" w:sz="0" w:space="0" w:color="auto"/>
        <w:bottom w:val="none" w:sz="0" w:space="0" w:color="auto"/>
        <w:right w:val="none" w:sz="0" w:space="0" w:color="auto"/>
      </w:divBdr>
    </w:div>
    <w:div w:id="1088307091">
      <w:bodyDiv w:val="1"/>
      <w:marLeft w:val="0"/>
      <w:marRight w:val="0"/>
      <w:marTop w:val="0"/>
      <w:marBottom w:val="0"/>
      <w:divBdr>
        <w:top w:val="none" w:sz="0" w:space="0" w:color="auto"/>
        <w:left w:val="none" w:sz="0" w:space="0" w:color="auto"/>
        <w:bottom w:val="none" w:sz="0" w:space="0" w:color="auto"/>
        <w:right w:val="none" w:sz="0" w:space="0" w:color="auto"/>
      </w:divBdr>
    </w:div>
    <w:div w:id="1098671008">
      <w:bodyDiv w:val="1"/>
      <w:marLeft w:val="0"/>
      <w:marRight w:val="0"/>
      <w:marTop w:val="0"/>
      <w:marBottom w:val="0"/>
      <w:divBdr>
        <w:top w:val="none" w:sz="0" w:space="0" w:color="auto"/>
        <w:left w:val="none" w:sz="0" w:space="0" w:color="auto"/>
        <w:bottom w:val="none" w:sz="0" w:space="0" w:color="auto"/>
        <w:right w:val="none" w:sz="0" w:space="0" w:color="auto"/>
      </w:divBdr>
    </w:div>
    <w:div w:id="1109397335">
      <w:bodyDiv w:val="1"/>
      <w:marLeft w:val="0"/>
      <w:marRight w:val="0"/>
      <w:marTop w:val="0"/>
      <w:marBottom w:val="0"/>
      <w:divBdr>
        <w:top w:val="none" w:sz="0" w:space="0" w:color="auto"/>
        <w:left w:val="none" w:sz="0" w:space="0" w:color="auto"/>
        <w:bottom w:val="none" w:sz="0" w:space="0" w:color="auto"/>
        <w:right w:val="none" w:sz="0" w:space="0" w:color="auto"/>
      </w:divBdr>
    </w:div>
    <w:div w:id="1118138866">
      <w:bodyDiv w:val="1"/>
      <w:marLeft w:val="0"/>
      <w:marRight w:val="0"/>
      <w:marTop w:val="0"/>
      <w:marBottom w:val="0"/>
      <w:divBdr>
        <w:top w:val="none" w:sz="0" w:space="0" w:color="auto"/>
        <w:left w:val="none" w:sz="0" w:space="0" w:color="auto"/>
        <w:bottom w:val="none" w:sz="0" w:space="0" w:color="auto"/>
        <w:right w:val="none" w:sz="0" w:space="0" w:color="auto"/>
      </w:divBdr>
    </w:div>
    <w:div w:id="1141580330">
      <w:bodyDiv w:val="1"/>
      <w:marLeft w:val="0"/>
      <w:marRight w:val="0"/>
      <w:marTop w:val="0"/>
      <w:marBottom w:val="0"/>
      <w:divBdr>
        <w:top w:val="none" w:sz="0" w:space="0" w:color="auto"/>
        <w:left w:val="none" w:sz="0" w:space="0" w:color="auto"/>
        <w:bottom w:val="none" w:sz="0" w:space="0" w:color="auto"/>
        <w:right w:val="none" w:sz="0" w:space="0" w:color="auto"/>
      </w:divBdr>
    </w:div>
    <w:div w:id="1154834758">
      <w:bodyDiv w:val="1"/>
      <w:marLeft w:val="0"/>
      <w:marRight w:val="0"/>
      <w:marTop w:val="0"/>
      <w:marBottom w:val="0"/>
      <w:divBdr>
        <w:top w:val="none" w:sz="0" w:space="0" w:color="auto"/>
        <w:left w:val="none" w:sz="0" w:space="0" w:color="auto"/>
        <w:bottom w:val="none" w:sz="0" w:space="0" w:color="auto"/>
        <w:right w:val="none" w:sz="0" w:space="0" w:color="auto"/>
      </w:divBdr>
    </w:div>
    <w:div w:id="1158809388">
      <w:bodyDiv w:val="1"/>
      <w:marLeft w:val="0"/>
      <w:marRight w:val="0"/>
      <w:marTop w:val="0"/>
      <w:marBottom w:val="0"/>
      <w:divBdr>
        <w:top w:val="none" w:sz="0" w:space="0" w:color="auto"/>
        <w:left w:val="none" w:sz="0" w:space="0" w:color="auto"/>
        <w:bottom w:val="none" w:sz="0" w:space="0" w:color="auto"/>
        <w:right w:val="none" w:sz="0" w:space="0" w:color="auto"/>
      </w:divBdr>
    </w:div>
    <w:div w:id="1166940448">
      <w:bodyDiv w:val="1"/>
      <w:marLeft w:val="0"/>
      <w:marRight w:val="0"/>
      <w:marTop w:val="0"/>
      <w:marBottom w:val="0"/>
      <w:divBdr>
        <w:top w:val="none" w:sz="0" w:space="0" w:color="auto"/>
        <w:left w:val="none" w:sz="0" w:space="0" w:color="auto"/>
        <w:bottom w:val="none" w:sz="0" w:space="0" w:color="auto"/>
        <w:right w:val="none" w:sz="0" w:space="0" w:color="auto"/>
      </w:divBdr>
    </w:div>
    <w:div w:id="1198348613">
      <w:bodyDiv w:val="1"/>
      <w:marLeft w:val="0"/>
      <w:marRight w:val="0"/>
      <w:marTop w:val="0"/>
      <w:marBottom w:val="0"/>
      <w:divBdr>
        <w:top w:val="none" w:sz="0" w:space="0" w:color="auto"/>
        <w:left w:val="none" w:sz="0" w:space="0" w:color="auto"/>
        <w:bottom w:val="none" w:sz="0" w:space="0" w:color="auto"/>
        <w:right w:val="none" w:sz="0" w:space="0" w:color="auto"/>
      </w:divBdr>
    </w:div>
    <w:div w:id="1213662765">
      <w:bodyDiv w:val="1"/>
      <w:marLeft w:val="0"/>
      <w:marRight w:val="0"/>
      <w:marTop w:val="0"/>
      <w:marBottom w:val="0"/>
      <w:divBdr>
        <w:top w:val="none" w:sz="0" w:space="0" w:color="auto"/>
        <w:left w:val="none" w:sz="0" w:space="0" w:color="auto"/>
        <w:bottom w:val="none" w:sz="0" w:space="0" w:color="auto"/>
        <w:right w:val="none" w:sz="0" w:space="0" w:color="auto"/>
      </w:divBdr>
    </w:div>
    <w:div w:id="1218199611">
      <w:bodyDiv w:val="1"/>
      <w:marLeft w:val="0"/>
      <w:marRight w:val="0"/>
      <w:marTop w:val="0"/>
      <w:marBottom w:val="0"/>
      <w:divBdr>
        <w:top w:val="none" w:sz="0" w:space="0" w:color="auto"/>
        <w:left w:val="none" w:sz="0" w:space="0" w:color="auto"/>
        <w:bottom w:val="none" w:sz="0" w:space="0" w:color="auto"/>
        <w:right w:val="none" w:sz="0" w:space="0" w:color="auto"/>
      </w:divBdr>
    </w:div>
    <w:div w:id="1218512639">
      <w:bodyDiv w:val="1"/>
      <w:marLeft w:val="0"/>
      <w:marRight w:val="0"/>
      <w:marTop w:val="0"/>
      <w:marBottom w:val="0"/>
      <w:divBdr>
        <w:top w:val="none" w:sz="0" w:space="0" w:color="auto"/>
        <w:left w:val="none" w:sz="0" w:space="0" w:color="auto"/>
        <w:bottom w:val="none" w:sz="0" w:space="0" w:color="auto"/>
        <w:right w:val="none" w:sz="0" w:space="0" w:color="auto"/>
      </w:divBdr>
    </w:div>
    <w:div w:id="1221675673">
      <w:bodyDiv w:val="1"/>
      <w:marLeft w:val="0"/>
      <w:marRight w:val="0"/>
      <w:marTop w:val="0"/>
      <w:marBottom w:val="0"/>
      <w:divBdr>
        <w:top w:val="none" w:sz="0" w:space="0" w:color="auto"/>
        <w:left w:val="none" w:sz="0" w:space="0" w:color="auto"/>
        <w:bottom w:val="none" w:sz="0" w:space="0" w:color="auto"/>
        <w:right w:val="none" w:sz="0" w:space="0" w:color="auto"/>
      </w:divBdr>
    </w:div>
    <w:div w:id="1226375493">
      <w:bodyDiv w:val="1"/>
      <w:marLeft w:val="0"/>
      <w:marRight w:val="0"/>
      <w:marTop w:val="0"/>
      <w:marBottom w:val="0"/>
      <w:divBdr>
        <w:top w:val="none" w:sz="0" w:space="0" w:color="auto"/>
        <w:left w:val="none" w:sz="0" w:space="0" w:color="auto"/>
        <w:bottom w:val="none" w:sz="0" w:space="0" w:color="auto"/>
        <w:right w:val="none" w:sz="0" w:space="0" w:color="auto"/>
      </w:divBdr>
    </w:div>
    <w:div w:id="1245068454">
      <w:bodyDiv w:val="1"/>
      <w:marLeft w:val="0"/>
      <w:marRight w:val="0"/>
      <w:marTop w:val="0"/>
      <w:marBottom w:val="0"/>
      <w:divBdr>
        <w:top w:val="none" w:sz="0" w:space="0" w:color="auto"/>
        <w:left w:val="none" w:sz="0" w:space="0" w:color="auto"/>
        <w:bottom w:val="none" w:sz="0" w:space="0" w:color="auto"/>
        <w:right w:val="none" w:sz="0" w:space="0" w:color="auto"/>
      </w:divBdr>
    </w:div>
    <w:div w:id="1252815566">
      <w:bodyDiv w:val="1"/>
      <w:marLeft w:val="0"/>
      <w:marRight w:val="0"/>
      <w:marTop w:val="0"/>
      <w:marBottom w:val="0"/>
      <w:divBdr>
        <w:top w:val="none" w:sz="0" w:space="0" w:color="auto"/>
        <w:left w:val="none" w:sz="0" w:space="0" w:color="auto"/>
        <w:bottom w:val="none" w:sz="0" w:space="0" w:color="auto"/>
        <w:right w:val="none" w:sz="0" w:space="0" w:color="auto"/>
      </w:divBdr>
    </w:div>
    <w:div w:id="1295599774">
      <w:bodyDiv w:val="1"/>
      <w:marLeft w:val="0"/>
      <w:marRight w:val="0"/>
      <w:marTop w:val="0"/>
      <w:marBottom w:val="0"/>
      <w:divBdr>
        <w:top w:val="none" w:sz="0" w:space="0" w:color="auto"/>
        <w:left w:val="none" w:sz="0" w:space="0" w:color="auto"/>
        <w:bottom w:val="none" w:sz="0" w:space="0" w:color="auto"/>
        <w:right w:val="none" w:sz="0" w:space="0" w:color="auto"/>
      </w:divBdr>
    </w:div>
    <w:div w:id="1299410828">
      <w:bodyDiv w:val="1"/>
      <w:marLeft w:val="0"/>
      <w:marRight w:val="0"/>
      <w:marTop w:val="0"/>
      <w:marBottom w:val="0"/>
      <w:divBdr>
        <w:top w:val="none" w:sz="0" w:space="0" w:color="auto"/>
        <w:left w:val="none" w:sz="0" w:space="0" w:color="auto"/>
        <w:bottom w:val="none" w:sz="0" w:space="0" w:color="auto"/>
        <w:right w:val="none" w:sz="0" w:space="0" w:color="auto"/>
      </w:divBdr>
    </w:div>
    <w:div w:id="1307200455">
      <w:bodyDiv w:val="1"/>
      <w:marLeft w:val="0"/>
      <w:marRight w:val="0"/>
      <w:marTop w:val="0"/>
      <w:marBottom w:val="0"/>
      <w:divBdr>
        <w:top w:val="none" w:sz="0" w:space="0" w:color="auto"/>
        <w:left w:val="none" w:sz="0" w:space="0" w:color="auto"/>
        <w:bottom w:val="none" w:sz="0" w:space="0" w:color="auto"/>
        <w:right w:val="none" w:sz="0" w:space="0" w:color="auto"/>
      </w:divBdr>
    </w:div>
    <w:div w:id="1308361669">
      <w:bodyDiv w:val="1"/>
      <w:marLeft w:val="0"/>
      <w:marRight w:val="0"/>
      <w:marTop w:val="0"/>
      <w:marBottom w:val="0"/>
      <w:divBdr>
        <w:top w:val="none" w:sz="0" w:space="0" w:color="auto"/>
        <w:left w:val="none" w:sz="0" w:space="0" w:color="auto"/>
        <w:bottom w:val="none" w:sz="0" w:space="0" w:color="auto"/>
        <w:right w:val="none" w:sz="0" w:space="0" w:color="auto"/>
      </w:divBdr>
    </w:div>
    <w:div w:id="1308432409">
      <w:bodyDiv w:val="1"/>
      <w:marLeft w:val="0"/>
      <w:marRight w:val="0"/>
      <w:marTop w:val="0"/>
      <w:marBottom w:val="0"/>
      <w:divBdr>
        <w:top w:val="none" w:sz="0" w:space="0" w:color="auto"/>
        <w:left w:val="none" w:sz="0" w:space="0" w:color="auto"/>
        <w:bottom w:val="none" w:sz="0" w:space="0" w:color="auto"/>
        <w:right w:val="none" w:sz="0" w:space="0" w:color="auto"/>
      </w:divBdr>
    </w:div>
    <w:div w:id="1314794504">
      <w:bodyDiv w:val="1"/>
      <w:marLeft w:val="0"/>
      <w:marRight w:val="0"/>
      <w:marTop w:val="0"/>
      <w:marBottom w:val="0"/>
      <w:divBdr>
        <w:top w:val="none" w:sz="0" w:space="0" w:color="auto"/>
        <w:left w:val="none" w:sz="0" w:space="0" w:color="auto"/>
        <w:bottom w:val="none" w:sz="0" w:space="0" w:color="auto"/>
        <w:right w:val="none" w:sz="0" w:space="0" w:color="auto"/>
      </w:divBdr>
    </w:div>
    <w:div w:id="1317997140">
      <w:bodyDiv w:val="1"/>
      <w:marLeft w:val="0"/>
      <w:marRight w:val="0"/>
      <w:marTop w:val="0"/>
      <w:marBottom w:val="0"/>
      <w:divBdr>
        <w:top w:val="none" w:sz="0" w:space="0" w:color="auto"/>
        <w:left w:val="none" w:sz="0" w:space="0" w:color="auto"/>
        <w:bottom w:val="none" w:sz="0" w:space="0" w:color="auto"/>
        <w:right w:val="none" w:sz="0" w:space="0" w:color="auto"/>
      </w:divBdr>
    </w:div>
    <w:div w:id="1323655462">
      <w:bodyDiv w:val="1"/>
      <w:marLeft w:val="0"/>
      <w:marRight w:val="0"/>
      <w:marTop w:val="0"/>
      <w:marBottom w:val="0"/>
      <w:divBdr>
        <w:top w:val="none" w:sz="0" w:space="0" w:color="auto"/>
        <w:left w:val="none" w:sz="0" w:space="0" w:color="auto"/>
        <w:bottom w:val="none" w:sz="0" w:space="0" w:color="auto"/>
        <w:right w:val="none" w:sz="0" w:space="0" w:color="auto"/>
      </w:divBdr>
    </w:div>
    <w:div w:id="1328943178">
      <w:bodyDiv w:val="1"/>
      <w:marLeft w:val="0"/>
      <w:marRight w:val="0"/>
      <w:marTop w:val="0"/>
      <w:marBottom w:val="0"/>
      <w:divBdr>
        <w:top w:val="none" w:sz="0" w:space="0" w:color="auto"/>
        <w:left w:val="none" w:sz="0" w:space="0" w:color="auto"/>
        <w:bottom w:val="none" w:sz="0" w:space="0" w:color="auto"/>
        <w:right w:val="none" w:sz="0" w:space="0" w:color="auto"/>
      </w:divBdr>
    </w:div>
    <w:div w:id="1351447439">
      <w:bodyDiv w:val="1"/>
      <w:marLeft w:val="0"/>
      <w:marRight w:val="0"/>
      <w:marTop w:val="0"/>
      <w:marBottom w:val="0"/>
      <w:divBdr>
        <w:top w:val="none" w:sz="0" w:space="0" w:color="auto"/>
        <w:left w:val="none" w:sz="0" w:space="0" w:color="auto"/>
        <w:bottom w:val="none" w:sz="0" w:space="0" w:color="auto"/>
        <w:right w:val="none" w:sz="0" w:space="0" w:color="auto"/>
      </w:divBdr>
    </w:div>
    <w:div w:id="1354726023">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411655017">
      <w:bodyDiv w:val="1"/>
      <w:marLeft w:val="0"/>
      <w:marRight w:val="0"/>
      <w:marTop w:val="0"/>
      <w:marBottom w:val="0"/>
      <w:divBdr>
        <w:top w:val="none" w:sz="0" w:space="0" w:color="auto"/>
        <w:left w:val="none" w:sz="0" w:space="0" w:color="auto"/>
        <w:bottom w:val="none" w:sz="0" w:space="0" w:color="auto"/>
        <w:right w:val="none" w:sz="0" w:space="0" w:color="auto"/>
      </w:divBdr>
    </w:div>
    <w:div w:id="1412045111">
      <w:bodyDiv w:val="1"/>
      <w:marLeft w:val="0"/>
      <w:marRight w:val="0"/>
      <w:marTop w:val="0"/>
      <w:marBottom w:val="0"/>
      <w:divBdr>
        <w:top w:val="none" w:sz="0" w:space="0" w:color="auto"/>
        <w:left w:val="none" w:sz="0" w:space="0" w:color="auto"/>
        <w:bottom w:val="none" w:sz="0" w:space="0" w:color="auto"/>
        <w:right w:val="none" w:sz="0" w:space="0" w:color="auto"/>
      </w:divBdr>
    </w:div>
    <w:div w:id="1418357050">
      <w:bodyDiv w:val="1"/>
      <w:marLeft w:val="0"/>
      <w:marRight w:val="0"/>
      <w:marTop w:val="0"/>
      <w:marBottom w:val="0"/>
      <w:divBdr>
        <w:top w:val="none" w:sz="0" w:space="0" w:color="auto"/>
        <w:left w:val="none" w:sz="0" w:space="0" w:color="auto"/>
        <w:bottom w:val="none" w:sz="0" w:space="0" w:color="auto"/>
        <w:right w:val="none" w:sz="0" w:space="0" w:color="auto"/>
      </w:divBdr>
    </w:div>
    <w:div w:id="1422993223">
      <w:bodyDiv w:val="1"/>
      <w:marLeft w:val="0"/>
      <w:marRight w:val="0"/>
      <w:marTop w:val="0"/>
      <w:marBottom w:val="0"/>
      <w:divBdr>
        <w:top w:val="none" w:sz="0" w:space="0" w:color="auto"/>
        <w:left w:val="none" w:sz="0" w:space="0" w:color="auto"/>
        <w:bottom w:val="none" w:sz="0" w:space="0" w:color="auto"/>
        <w:right w:val="none" w:sz="0" w:space="0" w:color="auto"/>
      </w:divBdr>
    </w:div>
    <w:div w:id="1443186174">
      <w:bodyDiv w:val="1"/>
      <w:marLeft w:val="0"/>
      <w:marRight w:val="0"/>
      <w:marTop w:val="0"/>
      <w:marBottom w:val="0"/>
      <w:divBdr>
        <w:top w:val="none" w:sz="0" w:space="0" w:color="auto"/>
        <w:left w:val="none" w:sz="0" w:space="0" w:color="auto"/>
        <w:bottom w:val="none" w:sz="0" w:space="0" w:color="auto"/>
        <w:right w:val="none" w:sz="0" w:space="0" w:color="auto"/>
      </w:divBdr>
    </w:div>
    <w:div w:id="1458525838">
      <w:bodyDiv w:val="1"/>
      <w:marLeft w:val="0"/>
      <w:marRight w:val="0"/>
      <w:marTop w:val="0"/>
      <w:marBottom w:val="0"/>
      <w:divBdr>
        <w:top w:val="none" w:sz="0" w:space="0" w:color="auto"/>
        <w:left w:val="none" w:sz="0" w:space="0" w:color="auto"/>
        <w:bottom w:val="none" w:sz="0" w:space="0" w:color="auto"/>
        <w:right w:val="none" w:sz="0" w:space="0" w:color="auto"/>
      </w:divBdr>
    </w:div>
    <w:div w:id="1463576106">
      <w:bodyDiv w:val="1"/>
      <w:marLeft w:val="0"/>
      <w:marRight w:val="0"/>
      <w:marTop w:val="0"/>
      <w:marBottom w:val="0"/>
      <w:divBdr>
        <w:top w:val="none" w:sz="0" w:space="0" w:color="auto"/>
        <w:left w:val="none" w:sz="0" w:space="0" w:color="auto"/>
        <w:bottom w:val="none" w:sz="0" w:space="0" w:color="auto"/>
        <w:right w:val="none" w:sz="0" w:space="0" w:color="auto"/>
      </w:divBdr>
    </w:div>
    <w:div w:id="1467813255">
      <w:bodyDiv w:val="1"/>
      <w:marLeft w:val="0"/>
      <w:marRight w:val="0"/>
      <w:marTop w:val="0"/>
      <w:marBottom w:val="0"/>
      <w:divBdr>
        <w:top w:val="none" w:sz="0" w:space="0" w:color="auto"/>
        <w:left w:val="none" w:sz="0" w:space="0" w:color="auto"/>
        <w:bottom w:val="none" w:sz="0" w:space="0" w:color="auto"/>
        <w:right w:val="none" w:sz="0" w:space="0" w:color="auto"/>
      </w:divBdr>
    </w:div>
    <w:div w:id="1484467541">
      <w:bodyDiv w:val="1"/>
      <w:marLeft w:val="0"/>
      <w:marRight w:val="0"/>
      <w:marTop w:val="0"/>
      <w:marBottom w:val="0"/>
      <w:divBdr>
        <w:top w:val="none" w:sz="0" w:space="0" w:color="auto"/>
        <w:left w:val="none" w:sz="0" w:space="0" w:color="auto"/>
        <w:bottom w:val="none" w:sz="0" w:space="0" w:color="auto"/>
        <w:right w:val="none" w:sz="0" w:space="0" w:color="auto"/>
      </w:divBdr>
    </w:div>
    <w:div w:id="1484810074">
      <w:bodyDiv w:val="1"/>
      <w:marLeft w:val="0"/>
      <w:marRight w:val="0"/>
      <w:marTop w:val="0"/>
      <w:marBottom w:val="0"/>
      <w:divBdr>
        <w:top w:val="none" w:sz="0" w:space="0" w:color="auto"/>
        <w:left w:val="none" w:sz="0" w:space="0" w:color="auto"/>
        <w:bottom w:val="none" w:sz="0" w:space="0" w:color="auto"/>
        <w:right w:val="none" w:sz="0" w:space="0" w:color="auto"/>
      </w:divBdr>
    </w:div>
    <w:div w:id="1525752414">
      <w:bodyDiv w:val="1"/>
      <w:marLeft w:val="0"/>
      <w:marRight w:val="0"/>
      <w:marTop w:val="0"/>
      <w:marBottom w:val="0"/>
      <w:divBdr>
        <w:top w:val="none" w:sz="0" w:space="0" w:color="auto"/>
        <w:left w:val="none" w:sz="0" w:space="0" w:color="auto"/>
        <w:bottom w:val="none" w:sz="0" w:space="0" w:color="auto"/>
        <w:right w:val="none" w:sz="0" w:space="0" w:color="auto"/>
      </w:divBdr>
    </w:div>
    <w:div w:id="1536653487">
      <w:bodyDiv w:val="1"/>
      <w:marLeft w:val="0"/>
      <w:marRight w:val="0"/>
      <w:marTop w:val="0"/>
      <w:marBottom w:val="0"/>
      <w:divBdr>
        <w:top w:val="none" w:sz="0" w:space="0" w:color="auto"/>
        <w:left w:val="none" w:sz="0" w:space="0" w:color="auto"/>
        <w:bottom w:val="none" w:sz="0" w:space="0" w:color="auto"/>
        <w:right w:val="none" w:sz="0" w:space="0" w:color="auto"/>
      </w:divBdr>
    </w:div>
    <w:div w:id="1549994596">
      <w:bodyDiv w:val="1"/>
      <w:marLeft w:val="0"/>
      <w:marRight w:val="0"/>
      <w:marTop w:val="0"/>
      <w:marBottom w:val="0"/>
      <w:divBdr>
        <w:top w:val="none" w:sz="0" w:space="0" w:color="auto"/>
        <w:left w:val="none" w:sz="0" w:space="0" w:color="auto"/>
        <w:bottom w:val="none" w:sz="0" w:space="0" w:color="auto"/>
        <w:right w:val="none" w:sz="0" w:space="0" w:color="auto"/>
      </w:divBdr>
    </w:div>
    <w:div w:id="1568109590">
      <w:bodyDiv w:val="1"/>
      <w:marLeft w:val="0"/>
      <w:marRight w:val="0"/>
      <w:marTop w:val="0"/>
      <w:marBottom w:val="0"/>
      <w:divBdr>
        <w:top w:val="none" w:sz="0" w:space="0" w:color="auto"/>
        <w:left w:val="none" w:sz="0" w:space="0" w:color="auto"/>
        <w:bottom w:val="none" w:sz="0" w:space="0" w:color="auto"/>
        <w:right w:val="none" w:sz="0" w:space="0" w:color="auto"/>
      </w:divBdr>
    </w:div>
    <w:div w:id="1585531750">
      <w:bodyDiv w:val="1"/>
      <w:marLeft w:val="0"/>
      <w:marRight w:val="0"/>
      <w:marTop w:val="0"/>
      <w:marBottom w:val="0"/>
      <w:divBdr>
        <w:top w:val="none" w:sz="0" w:space="0" w:color="auto"/>
        <w:left w:val="none" w:sz="0" w:space="0" w:color="auto"/>
        <w:bottom w:val="none" w:sz="0" w:space="0" w:color="auto"/>
        <w:right w:val="none" w:sz="0" w:space="0" w:color="auto"/>
      </w:divBdr>
    </w:div>
    <w:div w:id="1590654639">
      <w:bodyDiv w:val="1"/>
      <w:marLeft w:val="0"/>
      <w:marRight w:val="0"/>
      <w:marTop w:val="0"/>
      <w:marBottom w:val="0"/>
      <w:divBdr>
        <w:top w:val="none" w:sz="0" w:space="0" w:color="auto"/>
        <w:left w:val="none" w:sz="0" w:space="0" w:color="auto"/>
        <w:bottom w:val="none" w:sz="0" w:space="0" w:color="auto"/>
        <w:right w:val="none" w:sz="0" w:space="0" w:color="auto"/>
      </w:divBdr>
    </w:div>
    <w:div w:id="1619993945">
      <w:bodyDiv w:val="1"/>
      <w:marLeft w:val="0"/>
      <w:marRight w:val="0"/>
      <w:marTop w:val="0"/>
      <w:marBottom w:val="0"/>
      <w:divBdr>
        <w:top w:val="none" w:sz="0" w:space="0" w:color="auto"/>
        <w:left w:val="none" w:sz="0" w:space="0" w:color="auto"/>
        <w:bottom w:val="none" w:sz="0" w:space="0" w:color="auto"/>
        <w:right w:val="none" w:sz="0" w:space="0" w:color="auto"/>
      </w:divBdr>
    </w:div>
    <w:div w:id="1621229929">
      <w:bodyDiv w:val="1"/>
      <w:marLeft w:val="0"/>
      <w:marRight w:val="0"/>
      <w:marTop w:val="0"/>
      <w:marBottom w:val="0"/>
      <w:divBdr>
        <w:top w:val="none" w:sz="0" w:space="0" w:color="auto"/>
        <w:left w:val="none" w:sz="0" w:space="0" w:color="auto"/>
        <w:bottom w:val="none" w:sz="0" w:space="0" w:color="auto"/>
        <w:right w:val="none" w:sz="0" w:space="0" w:color="auto"/>
      </w:divBdr>
    </w:div>
    <w:div w:id="1639797850">
      <w:bodyDiv w:val="1"/>
      <w:marLeft w:val="0"/>
      <w:marRight w:val="0"/>
      <w:marTop w:val="0"/>
      <w:marBottom w:val="0"/>
      <w:divBdr>
        <w:top w:val="none" w:sz="0" w:space="0" w:color="auto"/>
        <w:left w:val="none" w:sz="0" w:space="0" w:color="auto"/>
        <w:bottom w:val="none" w:sz="0" w:space="0" w:color="auto"/>
        <w:right w:val="none" w:sz="0" w:space="0" w:color="auto"/>
      </w:divBdr>
    </w:div>
    <w:div w:id="1641227973">
      <w:bodyDiv w:val="1"/>
      <w:marLeft w:val="0"/>
      <w:marRight w:val="0"/>
      <w:marTop w:val="0"/>
      <w:marBottom w:val="0"/>
      <w:divBdr>
        <w:top w:val="none" w:sz="0" w:space="0" w:color="auto"/>
        <w:left w:val="none" w:sz="0" w:space="0" w:color="auto"/>
        <w:bottom w:val="none" w:sz="0" w:space="0" w:color="auto"/>
        <w:right w:val="none" w:sz="0" w:space="0" w:color="auto"/>
      </w:divBdr>
    </w:div>
    <w:div w:id="1649550631">
      <w:bodyDiv w:val="1"/>
      <w:marLeft w:val="0"/>
      <w:marRight w:val="0"/>
      <w:marTop w:val="0"/>
      <w:marBottom w:val="0"/>
      <w:divBdr>
        <w:top w:val="none" w:sz="0" w:space="0" w:color="auto"/>
        <w:left w:val="none" w:sz="0" w:space="0" w:color="auto"/>
        <w:bottom w:val="none" w:sz="0" w:space="0" w:color="auto"/>
        <w:right w:val="none" w:sz="0" w:space="0" w:color="auto"/>
      </w:divBdr>
    </w:div>
    <w:div w:id="1654488501">
      <w:bodyDiv w:val="1"/>
      <w:marLeft w:val="0"/>
      <w:marRight w:val="0"/>
      <w:marTop w:val="0"/>
      <w:marBottom w:val="0"/>
      <w:divBdr>
        <w:top w:val="none" w:sz="0" w:space="0" w:color="auto"/>
        <w:left w:val="none" w:sz="0" w:space="0" w:color="auto"/>
        <w:bottom w:val="none" w:sz="0" w:space="0" w:color="auto"/>
        <w:right w:val="none" w:sz="0" w:space="0" w:color="auto"/>
      </w:divBdr>
    </w:div>
    <w:div w:id="1684017661">
      <w:bodyDiv w:val="1"/>
      <w:marLeft w:val="0"/>
      <w:marRight w:val="0"/>
      <w:marTop w:val="0"/>
      <w:marBottom w:val="0"/>
      <w:divBdr>
        <w:top w:val="none" w:sz="0" w:space="0" w:color="auto"/>
        <w:left w:val="none" w:sz="0" w:space="0" w:color="auto"/>
        <w:bottom w:val="none" w:sz="0" w:space="0" w:color="auto"/>
        <w:right w:val="none" w:sz="0" w:space="0" w:color="auto"/>
      </w:divBdr>
    </w:div>
    <w:div w:id="1693914531">
      <w:bodyDiv w:val="1"/>
      <w:marLeft w:val="0"/>
      <w:marRight w:val="0"/>
      <w:marTop w:val="0"/>
      <w:marBottom w:val="0"/>
      <w:divBdr>
        <w:top w:val="none" w:sz="0" w:space="0" w:color="auto"/>
        <w:left w:val="none" w:sz="0" w:space="0" w:color="auto"/>
        <w:bottom w:val="none" w:sz="0" w:space="0" w:color="auto"/>
        <w:right w:val="none" w:sz="0" w:space="0" w:color="auto"/>
      </w:divBdr>
    </w:div>
    <w:div w:id="1711611033">
      <w:bodyDiv w:val="1"/>
      <w:marLeft w:val="0"/>
      <w:marRight w:val="0"/>
      <w:marTop w:val="0"/>
      <w:marBottom w:val="0"/>
      <w:divBdr>
        <w:top w:val="none" w:sz="0" w:space="0" w:color="auto"/>
        <w:left w:val="none" w:sz="0" w:space="0" w:color="auto"/>
        <w:bottom w:val="none" w:sz="0" w:space="0" w:color="auto"/>
        <w:right w:val="none" w:sz="0" w:space="0" w:color="auto"/>
      </w:divBdr>
    </w:div>
    <w:div w:id="1744833035">
      <w:bodyDiv w:val="1"/>
      <w:marLeft w:val="0"/>
      <w:marRight w:val="0"/>
      <w:marTop w:val="0"/>
      <w:marBottom w:val="0"/>
      <w:divBdr>
        <w:top w:val="none" w:sz="0" w:space="0" w:color="auto"/>
        <w:left w:val="none" w:sz="0" w:space="0" w:color="auto"/>
        <w:bottom w:val="none" w:sz="0" w:space="0" w:color="auto"/>
        <w:right w:val="none" w:sz="0" w:space="0" w:color="auto"/>
      </w:divBdr>
    </w:div>
    <w:div w:id="1760952467">
      <w:bodyDiv w:val="1"/>
      <w:marLeft w:val="0"/>
      <w:marRight w:val="0"/>
      <w:marTop w:val="0"/>
      <w:marBottom w:val="0"/>
      <w:divBdr>
        <w:top w:val="none" w:sz="0" w:space="0" w:color="auto"/>
        <w:left w:val="none" w:sz="0" w:space="0" w:color="auto"/>
        <w:bottom w:val="none" w:sz="0" w:space="0" w:color="auto"/>
        <w:right w:val="none" w:sz="0" w:space="0" w:color="auto"/>
      </w:divBdr>
    </w:div>
    <w:div w:id="1767268509">
      <w:bodyDiv w:val="1"/>
      <w:marLeft w:val="0"/>
      <w:marRight w:val="0"/>
      <w:marTop w:val="0"/>
      <w:marBottom w:val="0"/>
      <w:divBdr>
        <w:top w:val="none" w:sz="0" w:space="0" w:color="auto"/>
        <w:left w:val="none" w:sz="0" w:space="0" w:color="auto"/>
        <w:bottom w:val="none" w:sz="0" w:space="0" w:color="auto"/>
        <w:right w:val="none" w:sz="0" w:space="0" w:color="auto"/>
      </w:divBdr>
    </w:div>
    <w:div w:id="1779761560">
      <w:bodyDiv w:val="1"/>
      <w:marLeft w:val="0"/>
      <w:marRight w:val="0"/>
      <w:marTop w:val="0"/>
      <w:marBottom w:val="0"/>
      <w:divBdr>
        <w:top w:val="none" w:sz="0" w:space="0" w:color="auto"/>
        <w:left w:val="none" w:sz="0" w:space="0" w:color="auto"/>
        <w:bottom w:val="none" w:sz="0" w:space="0" w:color="auto"/>
        <w:right w:val="none" w:sz="0" w:space="0" w:color="auto"/>
      </w:divBdr>
    </w:div>
    <w:div w:id="1825050077">
      <w:bodyDiv w:val="1"/>
      <w:marLeft w:val="0"/>
      <w:marRight w:val="0"/>
      <w:marTop w:val="0"/>
      <w:marBottom w:val="0"/>
      <w:divBdr>
        <w:top w:val="none" w:sz="0" w:space="0" w:color="auto"/>
        <w:left w:val="none" w:sz="0" w:space="0" w:color="auto"/>
        <w:bottom w:val="none" w:sz="0" w:space="0" w:color="auto"/>
        <w:right w:val="none" w:sz="0" w:space="0" w:color="auto"/>
      </w:divBdr>
    </w:div>
    <w:div w:id="1832746753">
      <w:bodyDiv w:val="1"/>
      <w:marLeft w:val="0"/>
      <w:marRight w:val="0"/>
      <w:marTop w:val="0"/>
      <w:marBottom w:val="0"/>
      <w:divBdr>
        <w:top w:val="none" w:sz="0" w:space="0" w:color="auto"/>
        <w:left w:val="none" w:sz="0" w:space="0" w:color="auto"/>
        <w:bottom w:val="none" w:sz="0" w:space="0" w:color="auto"/>
        <w:right w:val="none" w:sz="0" w:space="0" w:color="auto"/>
      </w:divBdr>
    </w:div>
    <w:div w:id="1838155746">
      <w:bodyDiv w:val="1"/>
      <w:marLeft w:val="0"/>
      <w:marRight w:val="0"/>
      <w:marTop w:val="0"/>
      <w:marBottom w:val="0"/>
      <w:divBdr>
        <w:top w:val="none" w:sz="0" w:space="0" w:color="auto"/>
        <w:left w:val="none" w:sz="0" w:space="0" w:color="auto"/>
        <w:bottom w:val="none" w:sz="0" w:space="0" w:color="auto"/>
        <w:right w:val="none" w:sz="0" w:space="0" w:color="auto"/>
      </w:divBdr>
    </w:div>
    <w:div w:id="1839418447">
      <w:bodyDiv w:val="1"/>
      <w:marLeft w:val="0"/>
      <w:marRight w:val="0"/>
      <w:marTop w:val="0"/>
      <w:marBottom w:val="0"/>
      <w:divBdr>
        <w:top w:val="none" w:sz="0" w:space="0" w:color="auto"/>
        <w:left w:val="none" w:sz="0" w:space="0" w:color="auto"/>
        <w:bottom w:val="none" w:sz="0" w:space="0" w:color="auto"/>
        <w:right w:val="none" w:sz="0" w:space="0" w:color="auto"/>
      </w:divBdr>
    </w:div>
    <w:div w:id="1845968926">
      <w:bodyDiv w:val="1"/>
      <w:marLeft w:val="0"/>
      <w:marRight w:val="0"/>
      <w:marTop w:val="0"/>
      <w:marBottom w:val="0"/>
      <w:divBdr>
        <w:top w:val="none" w:sz="0" w:space="0" w:color="auto"/>
        <w:left w:val="none" w:sz="0" w:space="0" w:color="auto"/>
        <w:bottom w:val="none" w:sz="0" w:space="0" w:color="auto"/>
        <w:right w:val="none" w:sz="0" w:space="0" w:color="auto"/>
      </w:divBdr>
    </w:div>
    <w:div w:id="1857184122">
      <w:bodyDiv w:val="1"/>
      <w:marLeft w:val="0"/>
      <w:marRight w:val="0"/>
      <w:marTop w:val="0"/>
      <w:marBottom w:val="0"/>
      <w:divBdr>
        <w:top w:val="none" w:sz="0" w:space="0" w:color="auto"/>
        <w:left w:val="none" w:sz="0" w:space="0" w:color="auto"/>
        <w:bottom w:val="none" w:sz="0" w:space="0" w:color="auto"/>
        <w:right w:val="none" w:sz="0" w:space="0" w:color="auto"/>
      </w:divBdr>
    </w:div>
    <w:div w:id="1866866976">
      <w:bodyDiv w:val="1"/>
      <w:marLeft w:val="0"/>
      <w:marRight w:val="0"/>
      <w:marTop w:val="0"/>
      <w:marBottom w:val="0"/>
      <w:divBdr>
        <w:top w:val="none" w:sz="0" w:space="0" w:color="auto"/>
        <w:left w:val="none" w:sz="0" w:space="0" w:color="auto"/>
        <w:bottom w:val="none" w:sz="0" w:space="0" w:color="auto"/>
        <w:right w:val="none" w:sz="0" w:space="0" w:color="auto"/>
      </w:divBdr>
    </w:div>
    <w:div w:id="1888952266">
      <w:bodyDiv w:val="1"/>
      <w:marLeft w:val="0"/>
      <w:marRight w:val="0"/>
      <w:marTop w:val="0"/>
      <w:marBottom w:val="0"/>
      <w:divBdr>
        <w:top w:val="none" w:sz="0" w:space="0" w:color="auto"/>
        <w:left w:val="none" w:sz="0" w:space="0" w:color="auto"/>
        <w:bottom w:val="none" w:sz="0" w:space="0" w:color="auto"/>
        <w:right w:val="none" w:sz="0" w:space="0" w:color="auto"/>
      </w:divBdr>
    </w:div>
    <w:div w:id="1912497647">
      <w:bodyDiv w:val="1"/>
      <w:marLeft w:val="0"/>
      <w:marRight w:val="0"/>
      <w:marTop w:val="0"/>
      <w:marBottom w:val="0"/>
      <w:divBdr>
        <w:top w:val="none" w:sz="0" w:space="0" w:color="auto"/>
        <w:left w:val="none" w:sz="0" w:space="0" w:color="auto"/>
        <w:bottom w:val="none" w:sz="0" w:space="0" w:color="auto"/>
        <w:right w:val="none" w:sz="0" w:space="0" w:color="auto"/>
      </w:divBdr>
    </w:div>
    <w:div w:id="1922174870">
      <w:bodyDiv w:val="1"/>
      <w:marLeft w:val="0"/>
      <w:marRight w:val="0"/>
      <w:marTop w:val="0"/>
      <w:marBottom w:val="0"/>
      <w:divBdr>
        <w:top w:val="none" w:sz="0" w:space="0" w:color="auto"/>
        <w:left w:val="none" w:sz="0" w:space="0" w:color="auto"/>
        <w:bottom w:val="none" w:sz="0" w:space="0" w:color="auto"/>
        <w:right w:val="none" w:sz="0" w:space="0" w:color="auto"/>
      </w:divBdr>
    </w:div>
    <w:div w:id="1931888162">
      <w:bodyDiv w:val="1"/>
      <w:marLeft w:val="0"/>
      <w:marRight w:val="0"/>
      <w:marTop w:val="0"/>
      <w:marBottom w:val="0"/>
      <w:divBdr>
        <w:top w:val="none" w:sz="0" w:space="0" w:color="auto"/>
        <w:left w:val="none" w:sz="0" w:space="0" w:color="auto"/>
        <w:bottom w:val="none" w:sz="0" w:space="0" w:color="auto"/>
        <w:right w:val="none" w:sz="0" w:space="0" w:color="auto"/>
      </w:divBdr>
      <w:divsChild>
        <w:div w:id="1191725237">
          <w:marLeft w:val="0"/>
          <w:marRight w:val="0"/>
          <w:marTop w:val="0"/>
          <w:marBottom w:val="0"/>
          <w:divBdr>
            <w:top w:val="none" w:sz="0" w:space="0" w:color="auto"/>
            <w:left w:val="none" w:sz="0" w:space="0" w:color="auto"/>
            <w:bottom w:val="none" w:sz="0" w:space="0" w:color="auto"/>
            <w:right w:val="none" w:sz="0" w:space="0" w:color="auto"/>
          </w:divBdr>
        </w:div>
      </w:divsChild>
    </w:div>
    <w:div w:id="1963338753">
      <w:bodyDiv w:val="1"/>
      <w:marLeft w:val="0"/>
      <w:marRight w:val="0"/>
      <w:marTop w:val="0"/>
      <w:marBottom w:val="0"/>
      <w:divBdr>
        <w:top w:val="none" w:sz="0" w:space="0" w:color="auto"/>
        <w:left w:val="none" w:sz="0" w:space="0" w:color="auto"/>
        <w:bottom w:val="none" w:sz="0" w:space="0" w:color="auto"/>
        <w:right w:val="none" w:sz="0" w:space="0" w:color="auto"/>
      </w:divBdr>
    </w:div>
    <w:div w:id="1964921416">
      <w:bodyDiv w:val="1"/>
      <w:marLeft w:val="0"/>
      <w:marRight w:val="0"/>
      <w:marTop w:val="0"/>
      <w:marBottom w:val="0"/>
      <w:divBdr>
        <w:top w:val="none" w:sz="0" w:space="0" w:color="auto"/>
        <w:left w:val="none" w:sz="0" w:space="0" w:color="auto"/>
        <w:bottom w:val="none" w:sz="0" w:space="0" w:color="auto"/>
        <w:right w:val="none" w:sz="0" w:space="0" w:color="auto"/>
      </w:divBdr>
    </w:div>
    <w:div w:id="1989086686">
      <w:bodyDiv w:val="1"/>
      <w:marLeft w:val="0"/>
      <w:marRight w:val="0"/>
      <w:marTop w:val="0"/>
      <w:marBottom w:val="0"/>
      <w:divBdr>
        <w:top w:val="none" w:sz="0" w:space="0" w:color="auto"/>
        <w:left w:val="none" w:sz="0" w:space="0" w:color="auto"/>
        <w:bottom w:val="none" w:sz="0" w:space="0" w:color="auto"/>
        <w:right w:val="none" w:sz="0" w:space="0" w:color="auto"/>
      </w:divBdr>
    </w:div>
    <w:div w:id="1992371050">
      <w:bodyDiv w:val="1"/>
      <w:marLeft w:val="0"/>
      <w:marRight w:val="0"/>
      <w:marTop w:val="0"/>
      <w:marBottom w:val="0"/>
      <w:divBdr>
        <w:top w:val="none" w:sz="0" w:space="0" w:color="auto"/>
        <w:left w:val="none" w:sz="0" w:space="0" w:color="auto"/>
        <w:bottom w:val="none" w:sz="0" w:space="0" w:color="auto"/>
        <w:right w:val="none" w:sz="0" w:space="0" w:color="auto"/>
      </w:divBdr>
    </w:div>
    <w:div w:id="2006663027">
      <w:bodyDiv w:val="1"/>
      <w:marLeft w:val="0"/>
      <w:marRight w:val="0"/>
      <w:marTop w:val="0"/>
      <w:marBottom w:val="0"/>
      <w:divBdr>
        <w:top w:val="none" w:sz="0" w:space="0" w:color="auto"/>
        <w:left w:val="none" w:sz="0" w:space="0" w:color="auto"/>
        <w:bottom w:val="none" w:sz="0" w:space="0" w:color="auto"/>
        <w:right w:val="none" w:sz="0" w:space="0" w:color="auto"/>
      </w:divBdr>
    </w:div>
    <w:div w:id="2013142710">
      <w:bodyDiv w:val="1"/>
      <w:marLeft w:val="0"/>
      <w:marRight w:val="0"/>
      <w:marTop w:val="0"/>
      <w:marBottom w:val="0"/>
      <w:divBdr>
        <w:top w:val="none" w:sz="0" w:space="0" w:color="auto"/>
        <w:left w:val="none" w:sz="0" w:space="0" w:color="auto"/>
        <w:bottom w:val="none" w:sz="0" w:space="0" w:color="auto"/>
        <w:right w:val="none" w:sz="0" w:space="0" w:color="auto"/>
      </w:divBdr>
    </w:div>
    <w:div w:id="2021228258">
      <w:bodyDiv w:val="1"/>
      <w:marLeft w:val="0"/>
      <w:marRight w:val="0"/>
      <w:marTop w:val="0"/>
      <w:marBottom w:val="0"/>
      <w:divBdr>
        <w:top w:val="none" w:sz="0" w:space="0" w:color="auto"/>
        <w:left w:val="none" w:sz="0" w:space="0" w:color="auto"/>
        <w:bottom w:val="none" w:sz="0" w:space="0" w:color="auto"/>
        <w:right w:val="none" w:sz="0" w:space="0" w:color="auto"/>
      </w:divBdr>
    </w:div>
    <w:div w:id="2036884147">
      <w:bodyDiv w:val="1"/>
      <w:marLeft w:val="0"/>
      <w:marRight w:val="0"/>
      <w:marTop w:val="0"/>
      <w:marBottom w:val="0"/>
      <w:divBdr>
        <w:top w:val="none" w:sz="0" w:space="0" w:color="auto"/>
        <w:left w:val="none" w:sz="0" w:space="0" w:color="auto"/>
        <w:bottom w:val="none" w:sz="0" w:space="0" w:color="auto"/>
        <w:right w:val="none" w:sz="0" w:space="0" w:color="auto"/>
      </w:divBdr>
    </w:div>
    <w:div w:id="2041588855">
      <w:bodyDiv w:val="1"/>
      <w:marLeft w:val="0"/>
      <w:marRight w:val="0"/>
      <w:marTop w:val="0"/>
      <w:marBottom w:val="0"/>
      <w:divBdr>
        <w:top w:val="none" w:sz="0" w:space="0" w:color="auto"/>
        <w:left w:val="none" w:sz="0" w:space="0" w:color="auto"/>
        <w:bottom w:val="none" w:sz="0" w:space="0" w:color="auto"/>
        <w:right w:val="none" w:sz="0" w:space="0" w:color="auto"/>
      </w:divBdr>
    </w:div>
    <w:div w:id="2073306447">
      <w:bodyDiv w:val="1"/>
      <w:marLeft w:val="0"/>
      <w:marRight w:val="0"/>
      <w:marTop w:val="0"/>
      <w:marBottom w:val="0"/>
      <w:divBdr>
        <w:top w:val="none" w:sz="0" w:space="0" w:color="auto"/>
        <w:left w:val="none" w:sz="0" w:space="0" w:color="auto"/>
        <w:bottom w:val="none" w:sz="0" w:space="0" w:color="auto"/>
        <w:right w:val="none" w:sz="0" w:space="0" w:color="auto"/>
      </w:divBdr>
    </w:div>
    <w:div w:id="2077622852">
      <w:bodyDiv w:val="1"/>
      <w:marLeft w:val="0"/>
      <w:marRight w:val="0"/>
      <w:marTop w:val="0"/>
      <w:marBottom w:val="0"/>
      <w:divBdr>
        <w:top w:val="none" w:sz="0" w:space="0" w:color="auto"/>
        <w:left w:val="none" w:sz="0" w:space="0" w:color="auto"/>
        <w:bottom w:val="none" w:sz="0" w:space="0" w:color="auto"/>
        <w:right w:val="none" w:sz="0" w:space="0" w:color="auto"/>
      </w:divBdr>
    </w:div>
    <w:div w:id="2078818891">
      <w:bodyDiv w:val="1"/>
      <w:marLeft w:val="0"/>
      <w:marRight w:val="0"/>
      <w:marTop w:val="0"/>
      <w:marBottom w:val="0"/>
      <w:divBdr>
        <w:top w:val="none" w:sz="0" w:space="0" w:color="auto"/>
        <w:left w:val="none" w:sz="0" w:space="0" w:color="auto"/>
        <w:bottom w:val="none" w:sz="0" w:space="0" w:color="auto"/>
        <w:right w:val="none" w:sz="0" w:space="0" w:color="auto"/>
      </w:divBdr>
    </w:div>
    <w:div w:id="2093354679">
      <w:bodyDiv w:val="1"/>
      <w:marLeft w:val="0"/>
      <w:marRight w:val="0"/>
      <w:marTop w:val="0"/>
      <w:marBottom w:val="0"/>
      <w:divBdr>
        <w:top w:val="none" w:sz="0" w:space="0" w:color="auto"/>
        <w:left w:val="none" w:sz="0" w:space="0" w:color="auto"/>
        <w:bottom w:val="none" w:sz="0" w:space="0" w:color="auto"/>
        <w:right w:val="none" w:sz="0" w:space="0" w:color="auto"/>
      </w:divBdr>
    </w:div>
    <w:div w:id="2102676335">
      <w:bodyDiv w:val="1"/>
      <w:marLeft w:val="0"/>
      <w:marRight w:val="0"/>
      <w:marTop w:val="0"/>
      <w:marBottom w:val="0"/>
      <w:divBdr>
        <w:top w:val="none" w:sz="0" w:space="0" w:color="auto"/>
        <w:left w:val="none" w:sz="0" w:space="0" w:color="auto"/>
        <w:bottom w:val="none" w:sz="0" w:space="0" w:color="auto"/>
        <w:right w:val="none" w:sz="0" w:space="0" w:color="auto"/>
      </w:divBdr>
    </w:div>
    <w:div w:id="2126000222">
      <w:bodyDiv w:val="1"/>
      <w:marLeft w:val="0"/>
      <w:marRight w:val="0"/>
      <w:marTop w:val="0"/>
      <w:marBottom w:val="0"/>
      <w:divBdr>
        <w:top w:val="none" w:sz="0" w:space="0" w:color="auto"/>
        <w:left w:val="none" w:sz="0" w:space="0" w:color="auto"/>
        <w:bottom w:val="none" w:sz="0" w:space="0" w:color="auto"/>
        <w:right w:val="none" w:sz="0" w:space="0" w:color="auto"/>
      </w:divBdr>
    </w:div>
    <w:div w:id="2129620717">
      <w:bodyDiv w:val="1"/>
      <w:marLeft w:val="0"/>
      <w:marRight w:val="0"/>
      <w:marTop w:val="0"/>
      <w:marBottom w:val="0"/>
      <w:divBdr>
        <w:top w:val="none" w:sz="0" w:space="0" w:color="auto"/>
        <w:left w:val="none" w:sz="0" w:space="0" w:color="auto"/>
        <w:bottom w:val="none" w:sz="0" w:space="0" w:color="auto"/>
        <w:right w:val="none" w:sz="0" w:space="0" w:color="auto"/>
      </w:divBdr>
    </w:div>
    <w:div w:id="2136369845">
      <w:bodyDiv w:val="1"/>
      <w:marLeft w:val="0"/>
      <w:marRight w:val="0"/>
      <w:marTop w:val="0"/>
      <w:marBottom w:val="0"/>
      <w:divBdr>
        <w:top w:val="none" w:sz="0" w:space="0" w:color="auto"/>
        <w:left w:val="none" w:sz="0" w:space="0" w:color="auto"/>
        <w:bottom w:val="none" w:sz="0" w:space="0" w:color="auto"/>
        <w:right w:val="none" w:sz="0" w:space="0" w:color="auto"/>
      </w:divBdr>
    </w:div>
    <w:div w:id="21404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chart" Target="charts/chart1.xml"/><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deptsite/docs/fin/bud/mon/1718/09%20December/LIFT%20pivot%20tables%20(end%20of%20De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'TOP 5 debtors'!$J$6</c:f>
              <c:strCache>
                <c:ptCount val="1"/>
                <c:pt idx="0">
                  <c:v>Amount Outstanding</c:v>
                </c:pt>
              </c:strCache>
            </c:strRef>
          </c:tx>
          <c:spPr>
            <a:solidFill>
              <a:srgbClr val="92D050">
                <a:alpha val="50000"/>
              </a:srgbClr>
            </a:solidFill>
            <a:ln>
              <a:solidFill>
                <a:srgbClr val="92D050"/>
              </a:solidFill>
            </a:ln>
          </c:spPr>
          <c:cat>
            <c:numRef>
              <c:f>'TOP 5 debtors'!$I$7:$I$25</c:f>
              <c:numCache>
                <c:formatCode>mmm\-yy</c:formatCode>
                <c:ptCount val="19"/>
                <c:pt idx="0">
                  <c:v>42551</c:v>
                </c:pt>
                <c:pt idx="1">
                  <c:v>42582</c:v>
                </c:pt>
                <c:pt idx="2">
                  <c:v>42613</c:v>
                </c:pt>
                <c:pt idx="3">
                  <c:v>42643</c:v>
                </c:pt>
                <c:pt idx="4">
                  <c:v>42674</c:v>
                </c:pt>
                <c:pt idx="5">
                  <c:v>42704</c:v>
                </c:pt>
                <c:pt idx="6">
                  <c:v>42735</c:v>
                </c:pt>
                <c:pt idx="7">
                  <c:v>42766</c:v>
                </c:pt>
                <c:pt idx="8">
                  <c:v>42794</c:v>
                </c:pt>
                <c:pt idx="9">
                  <c:v>42825</c:v>
                </c:pt>
                <c:pt idx="10">
                  <c:v>42855</c:v>
                </c:pt>
                <c:pt idx="11">
                  <c:v>42886</c:v>
                </c:pt>
                <c:pt idx="12">
                  <c:v>42916</c:v>
                </c:pt>
                <c:pt idx="13">
                  <c:v>42947</c:v>
                </c:pt>
                <c:pt idx="14">
                  <c:v>42978</c:v>
                </c:pt>
                <c:pt idx="15">
                  <c:v>43008</c:v>
                </c:pt>
                <c:pt idx="16">
                  <c:v>43039</c:v>
                </c:pt>
                <c:pt idx="17">
                  <c:v>43069</c:v>
                </c:pt>
                <c:pt idx="18">
                  <c:v>43070</c:v>
                </c:pt>
              </c:numCache>
            </c:numRef>
          </c:cat>
          <c:val>
            <c:numRef>
              <c:f>'TOP 5 debtors'!$J$7:$J$25</c:f>
              <c:numCache>
                <c:formatCode>#,##0,;\(#,##0,\)</c:formatCode>
                <c:ptCount val="19"/>
                <c:pt idx="0">
                  <c:v>274650</c:v>
                </c:pt>
                <c:pt idx="1">
                  <c:v>197125.59999999986</c:v>
                </c:pt>
                <c:pt idx="2">
                  <c:v>180261.79999999981</c:v>
                </c:pt>
                <c:pt idx="3">
                  <c:v>203552.99999999983</c:v>
                </c:pt>
                <c:pt idx="4">
                  <c:v>195359.79999999987</c:v>
                </c:pt>
                <c:pt idx="5">
                  <c:v>192588.99999999988</c:v>
                </c:pt>
                <c:pt idx="6">
                  <c:v>183149.39999999982</c:v>
                </c:pt>
                <c:pt idx="7">
                  <c:v>178382.99999999991</c:v>
                </c:pt>
                <c:pt idx="8">
                  <c:v>168512.98999999982</c:v>
                </c:pt>
                <c:pt idx="9">
                  <c:v>164300.9999999998</c:v>
                </c:pt>
                <c:pt idx="10">
                  <c:v>170670.5999999998</c:v>
                </c:pt>
                <c:pt idx="11">
                  <c:v>170754.59999999983</c:v>
                </c:pt>
                <c:pt idx="12">
                  <c:v>162316.19999999978</c:v>
                </c:pt>
                <c:pt idx="13">
                  <c:v>143226.59999999986</c:v>
                </c:pt>
                <c:pt idx="14">
                  <c:v>136824.59999999998</c:v>
                </c:pt>
                <c:pt idx="15">
                  <c:v>146299.79999999996</c:v>
                </c:pt>
                <c:pt idx="16">
                  <c:v>140176.20000000001</c:v>
                </c:pt>
                <c:pt idx="17">
                  <c:v>129705.00000000079</c:v>
                </c:pt>
                <c:pt idx="18">
                  <c:v>131910.6</c:v>
                </c:pt>
              </c:numCache>
            </c:numRef>
          </c:val>
        </c:ser>
        <c:dLbls>
          <c:showLegendKey val="0"/>
          <c:showVal val="0"/>
          <c:showCatName val="0"/>
          <c:showSerName val="0"/>
          <c:showPercent val="0"/>
          <c:showBubbleSize val="0"/>
        </c:dLbls>
        <c:axId val="134117248"/>
        <c:axId val="134118784"/>
      </c:areaChart>
      <c:dateAx>
        <c:axId val="134117248"/>
        <c:scaling>
          <c:orientation val="minMax"/>
        </c:scaling>
        <c:delete val="0"/>
        <c:axPos val="b"/>
        <c:numFmt formatCode="mmm\-yy" sourceLinked="1"/>
        <c:majorTickMark val="out"/>
        <c:minorTickMark val="none"/>
        <c:tickLblPos val="nextTo"/>
        <c:crossAx val="134118784"/>
        <c:crosses val="autoZero"/>
        <c:auto val="1"/>
        <c:lblOffset val="100"/>
        <c:baseTimeUnit val="months"/>
      </c:dateAx>
      <c:valAx>
        <c:axId val="134118784"/>
        <c:scaling>
          <c:orientation val="minMax"/>
        </c:scaling>
        <c:delete val="0"/>
        <c:axPos val="l"/>
        <c:majorGridlines/>
        <c:numFmt formatCode="\£#,##0,&quot;k&quot;" sourceLinked="0"/>
        <c:majorTickMark val="out"/>
        <c:minorTickMark val="none"/>
        <c:tickLblPos val="nextTo"/>
        <c:crossAx val="134117248"/>
        <c:crosses val="autoZero"/>
        <c:crossBetween val="midCat"/>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58ceb878-6ae7-449f-bd9e-b4a81739a89e" ContentTypeId="0x010100BEE76EE765914F43BA8857678BFB4B3A20" PreviousValue="false"/>
</file>

<file path=customXml/item2.xml><?xml version="1.0" encoding="utf-8"?>
<ct:contentTypeSchema xmlns:ct="http://schemas.microsoft.com/office/2006/metadata/contentType" xmlns:ma="http://schemas.microsoft.com/office/2006/metadata/properties/metaAttributes" ct:_="" ma:_="" ma:contentTypeName="Financial" ma:contentTypeID="0x010100BEE76EE765914F43BA8857678BFB4B3A20003756ED435E515D40B997F159E7BEFC64" ma:contentTypeVersion="57" ma:contentTypeDescription="" ma:contentTypeScope="" ma:versionID="a1f64f29b24e3ddb8cc165f3974687e6">
  <xsd:schema xmlns:xsd="http://www.w3.org/2001/XMLSchema" xmlns:xs="http://www.w3.org/2001/XMLSchema" xmlns:p="http://schemas.microsoft.com/office/2006/metadata/properties" xmlns:ns1="http://schemas.microsoft.com/sharepoint/v3" xmlns:ns2="7eae3ae8-492c-4ae9-a76e-e1e9718b9d4c" targetNamespace="http://schemas.microsoft.com/office/2006/metadata/properties" ma:root="true" ma:fieldsID="762a08f24bf2e6a7c4e9dce397ca5818" ns1:_="" ns2:_="">
    <xsd:import namespace="http://schemas.microsoft.com/sharepoint/v3"/>
    <xsd:import namespace="7eae3ae8-492c-4ae9-a76e-e1e9718b9d4c"/>
    <xsd:element name="properties">
      <xsd:complexType>
        <xsd:sequence>
          <xsd:element name="documentManagement">
            <xsd:complexType>
              <xsd:all>
                <xsd:element ref="ns2:DocumentDescription" minOccurs="0"/>
                <xsd:element ref="ns2:DocumentReference" minOccurs="0"/>
                <xsd:element ref="ns2:DocumentAuthor"/>
                <xsd:element ref="ns2:DocumentStatus"/>
                <xsd:element ref="ns2:DocumentDate"/>
                <xsd:element ref="ns2:DocumentPublisher"/>
                <xsd:element ref="ns2:ProtectiveMarking"/>
                <xsd:element ref="ns2:DocumentClassification" minOccurs="0"/>
                <xsd:element ref="ns2:eGMSSubject" minOccurs="0"/>
                <xsd:element ref="ns2:DPA" minOccurs="0"/>
                <xsd:element ref="ns1:_dlc_Exempt" minOccurs="0"/>
                <xsd:element ref="ns1:_dlc_ExpireDateSaved" minOccurs="0"/>
                <xsd:element ref="ns1:_dlc_ExpireDate" minOccurs="0"/>
                <xsd:element ref="ns2:TaxCatchAll" minOccurs="0"/>
                <xsd:element ref="ns2:TaxCatchAllLabel" minOccurs="0"/>
                <xsd:element ref="ns1:CSMeta2010Field" minOccurs="0"/>
                <xsd:element ref="ns2:ad52f50b11a442cd868dd94ad8cb4658" minOccurs="0"/>
                <xsd:element ref="ns2:Security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hidden="true" ma:internalName="_dlc_ExpireDate" ma:readOnly="true">
      <xsd:simpleType>
        <xsd:restriction base="dms:DateTime"/>
      </xsd:simpleType>
    </xsd:element>
    <xsd:element name="CSMeta2010Field" ma:index="25" nillable="true" ma:displayName="Classification Status" ma:internalName="CSMeta2010Fie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e3ae8-492c-4ae9-a76e-e1e9718b9d4c"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 ma:internalName="DocumentDescription">
      <xsd:simpleType>
        <xsd:restriction base="dms:Note">
          <xsd:maxLength value="255"/>
        </xsd:restriction>
      </xsd:simpleType>
    </xsd:element>
    <xsd:element name="DocumentReference" ma:index="9" nillable="true" ma:displayName="Document Reference" ma:description="" ma:internalName="DocumentReference">
      <xsd:simpleType>
        <xsd:restriction base="dms:Text">
          <xsd:maxLength value="255"/>
        </xsd:restriction>
      </xsd:simpleType>
    </xsd:element>
    <xsd:element name="DocumentAuthor" ma:index="10" ma:displayName="Document Author" ma:description="" ma:internalName="DocumentAuthor" ma:readOnly="false">
      <xsd:simpleType>
        <xsd:restriction base="dms:Text"/>
      </xsd:simpleType>
    </xsd:element>
    <xsd:element name="DocumentStatus" ma:index="11" ma:displayName="Document Status" ma:default="Draft" ma:description="" ma:format="Dropdown" ma:internalName="DocumentStatus" ma:readOnly="false">
      <xsd:simpleType>
        <xsd:restriction base="dms:Choice">
          <xsd:enumeration value="Draft"/>
          <xsd:enumeration value="Final"/>
        </xsd:restriction>
      </xsd:simpleType>
    </xsd:element>
    <xsd:element name="DocumentDate" ma:index="12" ma:displayName="Document Date" ma:default="[today]" ma:description="" ma:format="DateOnly" ma:internalName="DocumentDate" ma:readOnly="false">
      <xsd:simpleType>
        <xsd:restriction base="dms:DateTime"/>
      </xsd:simpleType>
    </xsd:element>
    <xsd:element name="DocumentPublisher" ma:index="13" ma:displayName="Document Publisher" ma:default="LFB" ma:description="" ma:internalName="DocumentPublisher" ma:readOnly="false">
      <xsd:simpleType>
        <xsd:restriction base="dms:Text">
          <xsd:maxLength value="255"/>
        </xsd:restriction>
      </xsd:simpleType>
    </xsd:element>
    <xsd:element name="ProtectiveMarking" ma:index="14" ma:displayName="Protective Marking" ma:default="Not Protected" ma:format="Dropdown" ma:internalName="ProtectiveMarking" ma:readOnly="false">
      <xsd:simpleType>
        <xsd:restriction base="dms:Choice">
          <xsd:enumeration value="Not Protected"/>
          <xsd:enumeration value="Protect"/>
          <xsd:enumeration value="Restricted"/>
          <xsd:enumeration value="Confidential"/>
          <xsd:enumeration value="Secret"/>
          <xsd:enumeration value="Top secret"/>
        </xsd:restriction>
      </xsd:simpleType>
    </xsd:element>
    <xsd:element name="DocumentClassification" ma:index="15" nillable="true" ma:displayName="Document Classification" ma:description="" ma:internalName="DocumentClassification">
      <xsd:simpleType>
        <xsd:restriction base="dms:Text">
          <xsd:maxLength value="255"/>
        </xsd:restriction>
      </xsd:simpleType>
    </xsd:element>
    <xsd:element name="eGMSSubject" ma:index="16" nillable="true" ma:displayName="e-GMS Subject" ma:description="" ma:hidden="true" ma:internalName="eGMSSubject" ma:readOnly="false">
      <xsd:simpleType>
        <xsd:restriction base="dms:Text">
          <xsd:maxLength value="255"/>
        </xsd:restriction>
      </xsd:simpleType>
    </xsd:element>
    <xsd:element name="DPA" ma:index="17" nillable="true" ma:displayName="DPA" ma:description="" ma:format="Dropdown" ma:hidden="true" ma:internalName="DPA" ma:readOnly="false">
      <xsd:simpleType>
        <xsd:restriction base="dms:Choice">
          <xsd:enumeration value="Yes"/>
          <xsd:enumeration value="No"/>
        </xsd:restriction>
      </xsd:simpleType>
    </xsd:element>
    <xsd:element name="TaxCatchAll" ma:index="22" nillable="true" ma:displayName="Taxonomy Catch All Column" ma:description="" ma:hidden="true" ma:list="{3e0efe80-e62b-4a41-9bc0-f070d1898185}" ma:internalName="TaxCatchAll" ma:showField="CatchAllData"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3e0efe80-e62b-4a41-9bc0-f070d1898185}" ma:internalName="TaxCatchAllLabel" ma:readOnly="true" ma:showField="CatchAllDataLabel"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ad52f50b11a442cd868dd94ad8cb4658" ma:index="26" nillable="true" ma:taxonomy="true" ma:internalName="ad52f50b11a442cd868dd94ad8cb4658" ma:taxonomyFieldName="Business_x0020_Topic" ma:displayName="Business Topic" ma:default="" ma:fieldId="{ad52f50b-11a4-42cd-868d-d94ad8cb4658}" ma:taxonomyMulti="true" ma:sspId="58ceb878-6ae7-449f-bd9e-b4a81739a89e" ma:termSetId="82662044-415e-48fb-91ab-2b8944938a6a" ma:anchorId="00000000-0000-0000-0000-000000000000" ma:open="false" ma:isKeyword="false">
      <xsd:complexType>
        <xsd:sequence>
          <xsd:element ref="pc:Terms" minOccurs="0" maxOccurs="1"/>
        </xsd:sequence>
      </xsd:complexType>
    </xsd:element>
    <xsd:element name="SecurityClassification" ma:index="27" ma:displayName="Security Classification" ma:default="Official" ma:description="" ma:format="Dropdown" ma:internalName="SecurityClassification" ma:readOnly="false">
      <xsd:simpleType>
        <xsd:restriction base="dms:Choice">
          <xsd:enumeration value="Official"/>
          <xsd:enumeration value="Official - Sensitive"/>
          <xsd:enumeration value="Official - Sensitive - Personal Data"/>
          <xsd:enumeration value="Official - Sensitive - Commercial"/>
          <xsd:enumeration value="Official - Sensitive - Legal Privilege"/>
          <xsd:enumeration value="Official - Sensitive - Ops Security"/>
          <xsd:enumeration value="Official - Sensitive - Health and Safe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Type>10001</Type>
    <SequenceNumber>1100</SequenceNumber>
    <Assembly>Microsoft.Office.Policy, Version=14.0.0.0, Culture=neutral, PublicKeyToken=71e9bce111e9429c</Assembly>
    <Class>Microsoft.Office.RecordsManagement.Internal.AuditHandler</Class>
    <Data/>
    <Filter/>
  </Receiver>
  <Receiver>
    <Name>Policy Auditing</Name>
    <Type>10002</Type>
    <SequenceNumber>1101</SequenceNumber>
    <Assembly>Microsoft.Office.Policy, Version=14.0.0.0, Culture=neutral, PublicKeyToken=71e9bce111e9429c</Assembly>
    <Class>Microsoft.Office.RecordsManagement.Internal.AuditHandler</Class>
    <Data/>
    <Filter/>
  </Receiver>
  <Receiver>
    <Name>Policy Auditing</Name>
    <Type>10004</Type>
    <SequenceNumber>1102</SequenceNumber>
    <Assembly>Microsoft.Office.Policy, Version=14.0.0.0, Culture=neutral, PublicKeyToken=71e9bce111e9429c</Assembly>
    <Class>Microsoft.Office.RecordsManagement.Internal.AuditHandler</Class>
    <Data/>
    <Filter/>
  </Receiver>
  <Receiver>
    <Name>Policy Auditing</Name>
    <Type>10006</Type>
    <SequenceNumber>1103</SequenceNumber>
    <Assembly>Microsoft.Office.Policy, Version=14.0.0.0,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PolicyDirtyBag xmlns="microsoft.office.server.policy.changes">
  <Microsoft.Office.RecordsManagement.PolicyFeatures.PolicyAudit xmlns="" op="Change"/>
  <Microsoft.Office.RecordsManagement.PolicyFeatures.Expiration xmlns="" op="Change"/>
</PolicyDirtyBag>
</file>

<file path=customXml/item5.xml><?xml version="1.0" encoding="utf-8"?>
<p:properties xmlns:p="http://schemas.microsoft.com/office/2006/metadata/properties" xmlns:xsi="http://www.w3.org/2001/XMLSchema-instance" xmlns:pc="http://schemas.microsoft.com/office/infopath/2007/PartnerControls">
  <documentManagement>
    <TaxCatchAll xmlns="7eae3ae8-492c-4ae9-a76e-e1e9718b9d4c">
      <Value>17</Value>
      <Value>9</Value>
    </TaxCatchAll>
    <DocumentClassification xmlns="7eae3ae8-492c-4ae9-a76e-e1e9718b9d4c" xsi:nil="true"/>
    <DocumentAuthor xmlns="7eae3ae8-492c-4ae9-a76e-e1e9718b9d4c">Omolayo</DocumentAuthor>
    <DocumentPublisher xmlns="7eae3ae8-492c-4ae9-a76e-e1e9718b9d4c">LFB</DocumentPublisher>
    <DocumentDescription xmlns="7eae3ae8-492c-4ae9-a76e-e1e9718b9d4c" xsi:nil="true"/>
    <DocumentReference xmlns="7eae3ae8-492c-4ae9-a76e-e1e9718b9d4c" xsi:nil="true"/>
    <ProtectiveMarking xmlns="7eae3ae8-492c-4ae9-a76e-e1e9718b9d4c">Not Protected</ProtectiveMarking>
    <DocumentDate xmlns="7eae3ae8-492c-4ae9-a76e-e1e9718b9d4c">2017-02-09T00:00:00+00:00</DocumentDate>
    <DocumentStatus xmlns="7eae3ae8-492c-4ae9-a76e-e1e9718b9d4c">Draft</DocumentStatus>
    <DPA xmlns="7eae3ae8-492c-4ae9-a76e-e1e9718b9d4c">No</DPA>
    <eGMSSubject xmlns="7eae3ae8-492c-4ae9-a76e-e1e9718b9d4c" xsi:nil="true"/>
    <_dlc_ExpireDateSaved xmlns="http://schemas.microsoft.com/sharepoint/v3" xsi:nil="true"/>
    <_dlc_ExpireDate xmlns="http://schemas.microsoft.com/sharepoint/v3">2019-09-09T08:46:55+00:00</_dlc_ExpireDate>
    <SecurityClassification xmlns="7eae3ae8-492c-4ae9-a76e-e1e9718b9d4c">Official</SecurityClassification>
    <CSMeta2010Field xmlns="http://schemas.microsoft.com/sharepoint/v3">a5079d0c-53d4-4018-bdd9-65e8b0ddd843;2018-03-08 11:19:57;PENDINGCLASSIFICATION;Business Topic:2018-03-03 19:27:01|False||PENDINGCLASSIFICATION|2018-03-08 11:19:57|UNDEFINED;False</CSMeta2010Field>
    <ad52f50b11a442cd868dd94ad8cb4658 xmlns="7eae3ae8-492c-4ae9-a76e-e1e9718b9d4c">
      <Terms xmlns="http://schemas.microsoft.com/office/infopath/2007/PartnerControls">
        <TermInfo xmlns="http://schemas.microsoft.com/office/infopath/2007/PartnerControls">
          <TermName xmlns="http://schemas.microsoft.com/office/infopath/2007/PartnerControls">Governance:External:Local Government‎:GLA</TermName>
          <TermId xmlns="http://schemas.microsoft.com/office/infopath/2007/PartnerControls">e9c25c13-0565-4bf2-890f-9e5f5bdd56fa</TermId>
        </TermInfo>
        <TermInfo xmlns="http://schemas.microsoft.com/office/infopath/2007/PartnerControls">
          <TermName xmlns="http://schemas.microsoft.com/office/infopath/2007/PartnerControls">Resources:Collections:Library</TermName>
          <TermId xmlns="http://schemas.microsoft.com/office/infopath/2007/PartnerControls">be534702-43d5-44cf-aa6c-7394c92a0445</TermId>
        </TermInfo>
      </Terms>
    </ad52f50b11a442cd868dd94ad8cb4658>
  </documentManagement>
</p:properties>
</file>

<file path=customXml/item6.xml><?xml version="1.0" encoding="utf-8"?>
<?mso-contentType ?>
<p:Policy xmlns:p="office.server.policy" id="" local="true">
  <p:Name>Financial</p:Name>
  <p:Description>Documents are moved to the record centre after 18 months</p:Description>
  <p:Statement>This document is subject to an 18 month retention policy. This policy moves the document to the records centre 18 months after the date upon which it was last modified within the departmental workspace.</p:Statement>
  <p:PolicyItems>
    <p:PolicyItem featureId="Microsoft.Office.RecordsManagement.PolicyFeatures.PolicyAudit">
      <p:Name>Auditing</p:Name>
      <p:Description>Audits user actions on documents and list items to the Audit Log.</p:Description>
      <p:CustomData>
        <Audit>
          <Update/>
          <MoveCopy/>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18</number>
            <property>Modified</property>
            <period>months</period>
          </formula>
          <action type="workflow" id="9771b7a6-918e-4a6c-8787-e5d77c26231a"/>
        </data>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45E0-A187-4670-A57D-31E6BA720C76}">
  <ds:schemaRefs>
    <ds:schemaRef ds:uri="Microsoft.SharePoint.Taxonomy.ContentTypeSync"/>
  </ds:schemaRefs>
</ds:datastoreItem>
</file>

<file path=customXml/itemProps2.xml><?xml version="1.0" encoding="utf-8"?>
<ds:datastoreItem xmlns:ds="http://schemas.openxmlformats.org/officeDocument/2006/customXml" ds:itemID="{786505D0-FD75-458F-B807-1155E3F79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3ae8-492c-4ae9-a76e-e1e9718b9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2DF5F-419E-4BAE-9A6D-8AE25F179331}">
  <ds:schemaRefs>
    <ds:schemaRef ds:uri="http://schemas.microsoft.com/sharepoint/events"/>
  </ds:schemaRefs>
</ds:datastoreItem>
</file>

<file path=customXml/itemProps4.xml><?xml version="1.0" encoding="utf-8"?>
<ds:datastoreItem xmlns:ds="http://schemas.openxmlformats.org/officeDocument/2006/customXml" ds:itemID="{9614A022-BE37-47C3-AF1D-4FEA2E1C2F51}">
  <ds:schemaRefs>
    <ds:schemaRef ds:uri="microsoft.office.server.policy.changes"/>
    <ds:schemaRef ds:uri=""/>
  </ds:schemaRefs>
</ds:datastoreItem>
</file>

<file path=customXml/itemProps5.xml><?xml version="1.0" encoding="utf-8"?>
<ds:datastoreItem xmlns:ds="http://schemas.openxmlformats.org/officeDocument/2006/customXml" ds:itemID="{5DEFABB9-0CAB-443F-BADC-88502B5CE295}">
  <ds:schemaRefs>
    <ds:schemaRef ds:uri="http://schemas.microsoft.com/office/2006/metadata/properties"/>
    <ds:schemaRef ds:uri="http://schemas.microsoft.com/office/infopath/2007/PartnerControls"/>
    <ds:schemaRef ds:uri="7eae3ae8-492c-4ae9-a76e-e1e9718b9d4c"/>
    <ds:schemaRef ds:uri="http://schemas.microsoft.com/sharepoint/v3"/>
  </ds:schemaRefs>
</ds:datastoreItem>
</file>

<file path=customXml/itemProps6.xml><?xml version="1.0" encoding="utf-8"?>
<ds:datastoreItem xmlns:ds="http://schemas.openxmlformats.org/officeDocument/2006/customXml" ds:itemID="{8EADB39B-E18D-4D01-8428-FB8EE23A4EE2}">
  <ds:schemaRefs>
    <ds:schemaRef ds:uri="office.server.policy"/>
  </ds:schemaRefs>
</ds:datastoreItem>
</file>

<file path=customXml/itemProps7.xml><?xml version="1.0" encoding="utf-8"?>
<ds:datastoreItem xmlns:ds="http://schemas.openxmlformats.org/officeDocument/2006/customXml" ds:itemID="{30DD7685-5BC3-4ED9-9026-043E70F2FF07}">
  <ds:schemaRefs>
    <ds:schemaRef ds:uri="http://schemas.microsoft.com/sharepoint/v3/contenttype/forms"/>
  </ds:schemaRefs>
</ds:datastoreItem>
</file>

<file path=customXml/itemProps8.xml><?xml version="1.0" encoding="utf-8"?>
<ds:datastoreItem xmlns:ds="http://schemas.openxmlformats.org/officeDocument/2006/customXml" ds:itemID="{2D26AAE0-6BFE-4883-9412-EA9C20EC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8297</Words>
  <Characters>47299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Report title</vt:lpstr>
    </vt:vector>
  </TitlesOfParts>
  <Company>Brochet</Company>
  <LinksUpToDate>false</LinksUpToDate>
  <CharactersWithSpaces>55486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littleg</dc:creator>
  <cp:lastModifiedBy>sokoyao</cp:lastModifiedBy>
  <cp:revision>2</cp:revision>
  <cp:lastPrinted>2017-10-24T07:57:00Z</cp:lastPrinted>
  <dcterms:created xsi:type="dcterms:W3CDTF">2018-03-09T09:52:00Z</dcterms:created>
  <dcterms:modified xsi:type="dcterms:W3CDTF">2018-03-09T09:52:00Z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0x010100BEE76EE765914F43BA8857678BFB4B3A20003756ED435E515D40B997F159E7BEFC64</vt:lpwstr>
  </property>
  <property fmtid="{D5CDD505-2E9C-101B-9397-08002B2CF9AE}" pid="3" name="Order">
    <vt:r8>1400</vt:r8>
  </property>
  <property fmtid="{D5CDD505-2E9C-101B-9397-08002B2CF9AE}" pid="4" name="xd_ProgID">
    <vt:lpwstr/>
  </property>
  <property fmtid="{D5CDD505-2E9C-101B-9397-08002B2CF9AE}" pid="5" name="_CopySource">
    <vt:lpwstr/>
  </property>
  <property fmtid="{D5CDD505-2E9C-101B-9397-08002B2CF9AE}" pid="6" name="TemplateUrl">
    <vt:lpwstr/>
  </property>
  <property fmtid="{D5CDD505-2E9C-101B-9397-08002B2CF9AE}" pid="7" name="ProtectiveMarking">
    <vt:lpwstr>Protect</vt:lpwstr>
  </property>
  <property fmtid="{D5CDD505-2E9C-101B-9397-08002B2CF9AE}" pid="8" name="DocumentDescription">
    <vt:lpwstr/>
  </property>
  <property fmtid="{D5CDD505-2E9C-101B-9397-08002B2CF9AE}" pid="9" name="DocumentPublisher">
    <vt:lpwstr>LFB</vt:lpwstr>
  </property>
  <property fmtid="{D5CDD505-2E9C-101B-9397-08002B2CF9AE}" pid="10" name="eGMSSubject0">
    <vt:lpwstr/>
  </property>
  <property fmtid="{D5CDD505-2E9C-101B-9397-08002B2CF9AE}" pid="11" name="DocumentStatus">
    <vt:lpwstr>Final</vt:lpwstr>
  </property>
  <property fmtid="{D5CDD505-2E9C-101B-9397-08002B2CF9AE}" pid="12" name="DocumentReference">
    <vt:lpwstr>CMB Reports 2014   </vt:lpwstr>
  </property>
  <property fmtid="{D5CDD505-2E9C-101B-9397-08002B2CF9AE}" pid="13" name="DocumentDate">
    <vt:filetime>2014-10-14T22:00:00Z</vt:filetime>
  </property>
  <property fmtid="{D5CDD505-2E9C-101B-9397-08002B2CF9AE}" pid="14" name="DPA">
    <vt:lpwstr>No</vt:lpwstr>
  </property>
  <property fmtid="{D5CDD505-2E9C-101B-9397-08002B2CF9AE}" pid="15" name="DocumentClassification">
    <vt:lpwstr>CMB Reports 2014  </vt:lpwstr>
  </property>
  <property fmtid="{D5CDD505-2E9C-101B-9397-08002B2CF9AE}" pid="16" name="eGMSSubject">
    <vt:lpwstr/>
  </property>
  <property fmtid="{D5CDD505-2E9C-101B-9397-08002B2CF9AE}" pid="17" name="DPA0">
    <vt:lpwstr/>
  </property>
  <property fmtid="{D5CDD505-2E9C-101B-9397-08002B2CF9AE}" pid="18" name="CSMeta2010Field">
    <vt:lpwstr/>
  </property>
  <property fmtid="{D5CDD505-2E9C-101B-9397-08002B2CF9AE}" pid="19" name="DocumentAuthor">
    <vt:lpwstr>Omolayo Sokoya</vt:lpwstr>
  </property>
  <property fmtid="{D5CDD505-2E9C-101B-9397-08002B2CF9AE}" pid="20" name="_dlc_policyId">
    <vt:lpwstr/>
  </property>
  <property fmtid="{D5CDD505-2E9C-101B-9397-08002B2CF9AE}" pid="21" name="ItemRetentionFormula">
    <vt:lpwstr>&lt;formula id="Microsoft.Office.RecordsManagement.PolicyFeatures.Expiration.Formula.BuiltIn"&gt;&lt;number&gt;18&lt;/number&gt;&lt;property&gt;Modified&lt;/property&gt;&lt;period&gt;months&lt;/period&gt;&lt;/formula&gt;</vt:lpwstr>
  </property>
  <property fmtid="{D5CDD505-2E9C-101B-9397-08002B2CF9AE}" pid="22" name="Business Topic">
    <vt:lpwstr>17;#Governance:External:Local Government‎:GLA|e9c25c13-0565-4bf2-890f-9e5f5bdd56fa;#9;#Resources:Collections:Library|be534702-43d5-44cf-aa6c-7394c92a0445</vt:lpwstr>
  </property>
</Properties>
</file>