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010"/>
        <w:gridCol w:w="3629"/>
      </w:tblGrid>
      <w:tr w:rsidR="00A677D0" w:rsidRPr="00AB7829" w:rsidTr="00A00878">
        <w:tc>
          <w:tcPr>
            <w:tcW w:w="9639" w:type="dxa"/>
            <w:gridSpan w:val="2"/>
            <w:tcBorders>
              <w:bottom w:val="single" w:sz="4" w:space="0" w:color="auto"/>
            </w:tcBorders>
          </w:tcPr>
          <w:p w:rsidR="00A677D0" w:rsidRPr="00AB7829" w:rsidRDefault="00A677D0" w:rsidP="00F82FAB">
            <w:pPr>
              <w:pStyle w:val="TitleInfo"/>
            </w:pPr>
            <w:r w:rsidRPr="00AB7829">
              <w:t>Report title</w:t>
            </w:r>
          </w:p>
        </w:tc>
      </w:tr>
      <w:tr w:rsidR="00A677D0" w:rsidRPr="00AB7829" w:rsidTr="000C0FAA">
        <w:tc>
          <w:tcPr>
            <w:tcW w:w="9639" w:type="dxa"/>
            <w:gridSpan w:val="2"/>
            <w:tcBorders>
              <w:top w:val="single" w:sz="4" w:space="0" w:color="auto"/>
            </w:tcBorders>
          </w:tcPr>
          <w:p w:rsidR="00A677D0" w:rsidRPr="000F35F7" w:rsidRDefault="002417C4" w:rsidP="0022033A">
            <w:pPr>
              <w:pStyle w:val="TitleNo"/>
              <w:jc w:val="left"/>
              <w:rPr>
                <w:rFonts w:ascii="FoundrySansDemi" w:hAnsi="FoundrySansDemi"/>
                <w:sz w:val="34"/>
                <w:szCs w:val="34"/>
              </w:rPr>
            </w:pPr>
            <w:bookmarkStart w:id="0" w:name="ReportTitle"/>
            <w:r>
              <w:rPr>
                <w:rFonts w:ascii="FoundrySansDemi" w:hAnsi="FoundrySansDemi"/>
                <w:sz w:val="34"/>
                <w:szCs w:val="34"/>
              </w:rPr>
              <w:t xml:space="preserve">Provisional </w:t>
            </w:r>
            <w:r w:rsidR="0022033A">
              <w:rPr>
                <w:rFonts w:ascii="FoundrySansDemi" w:hAnsi="FoundrySansDemi"/>
                <w:sz w:val="34"/>
                <w:szCs w:val="34"/>
              </w:rPr>
              <w:t xml:space="preserve">Outturn Report </w:t>
            </w:r>
            <w:bookmarkEnd w:id="0"/>
            <w:r w:rsidR="00F15A69">
              <w:rPr>
                <w:rFonts w:ascii="FoundrySansDemi" w:hAnsi="FoundrySansDemi"/>
                <w:sz w:val="34"/>
                <w:szCs w:val="34"/>
              </w:rPr>
              <w:t>for 2017/18</w:t>
            </w:r>
          </w:p>
        </w:tc>
      </w:tr>
      <w:tr w:rsidR="00B83467" w:rsidRPr="00AB7829" w:rsidTr="000C0FAA">
        <w:tc>
          <w:tcPr>
            <w:tcW w:w="9639" w:type="dxa"/>
            <w:gridSpan w:val="2"/>
            <w:tcBorders>
              <w:bottom w:val="single" w:sz="4" w:space="0" w:color="auto"/>
            </w:tcBorders>
          </w:tcPr>
          <w:p w:rsidR="00B83467" w:rsidRPr="00AB7829" w:rsidRDefault="00B83467" w:rsidP="00B83467">
            <w:pPr>
              <w:pStyle w:val="TitleInfo"/>
            </w:pPr>
          </w:p>
        </w:tc>
      </w:tr>
      <w:tr w:rsidR="00B83467" w:rsidRPr="00AB7829" w:rsidTr="000C0FAA">
        <w:tc>
          <w:tcPr>
            <w:tcW w:w="6010" w:type="dxa"/>
            <w:tcBorders>
              <w:top w:val="single" w:sz="4" w:space="0" w:color="auto"/>
            </w:tcBorders>
          </w:tcPr>
          <w:p w:rsidR="00B83467" w:rsidRPr="00AB7829" w:rsidRDefault="009364E8" w:rsidP="00B83467">
            <w:pPr>
              <w:pStyle w:val="TitleInfo"/>
            </w:pPr>
            <w:r>
              <w:t>Report to</w:t>
            </w:r>
          </w:p>
        </w:tc>
        <w:tc>
          <w:tcPr>
            <w:tcW w:w="3629" w:type="dxa"/>
            <w:tcBorders>
              <w:top w:val="single" w:sz="4" w:space="0" w:color="auto"/>
            </w:tcBorders>
          </w:tcPr>
          <w:p w:rsidR="00B83467" w:rsidRPr="00AB7829" w:rsidRDefault="00B83467" w:rsidP="00B83467">
            <w:pPr>
              <w:pStyle w:val="TitleInfo"/>
            </w:pPr>
            <w:r w:rsidRPr="00AB7829">
              <w:t>Date</w:t>
            </w:r>
          </w:p>
        </w:tc>
      </w:tr>
      <w:tr w:rsidR="00B83467" w:rsidRPr="00AB7829" w:rsidTr="00A348ED">
        <w:tc>
          <w:tcPr>
            <w:tcW w:w="6010" w:type="dxa"/>
            <w:tcBorders>
              <w:bottom w:val="single" w:sz="8" w:space="0" w:color="auto"/>
            </w:tcBorders>
            <w:shd w:val="clear" w:color="auto" w:fill="auto"/>
            <w:tcMar>
              <w:bottom w:w="227" w:type="dxa"/>
            </w:tcMar>
          </w:tcPr>
          <w:p w:rsidR="00734C01" w:rsidRDefault="00734C01" w:rsidP="00D938E3">
            <w:pPr>
              <w:pStyle w:val="NumbListNoSpace"/>
              <w:ind w:left="340" w:hanging="340"/>
            </w:pPr>
          </w:p>
          <w:p w:rsidR="00041B01" w:rsidRPr="00041B01" w:rsidRDefault="00C96984" w:rsidP="00D938E3">
            <w:pPr>
              <w:pStyle w:val="NumbListNoSpace"/>
              <w:ind w:left="340" w:hanging="340"/>
              <w:rPr>
                <w:highlight w:val="yellow"/>
              </w:rPr>
            </w:pPr>
            <w:r w:rsidRPr="002A2CEE">
              <w:t>Commissioner’s Board</w:t>
            </w:r>
          </w:p>
        </w:tc>
        <w:tc>
          <w:tcPr>
            <w:tcW w:w="3629" w:type="dxa"/>
            <w:tcBorders>
              <w:bottom w:val="single" w:sz="8" w:space="0" w:color="auto"/>
            </w:tcBorders>
            <w:shd w:val="clear" w:color="auto" w:fill="auto"/>
            <w:tcMar>
              <w:bottom w:w="227" w:type="dxa"/>
            </w:tcMar>
          </w:tcPr>
          <w:p w:rsidR="00041B01" w:rsidRDefault="00041B01" w:rsidP="008C08F0">
            <w:pPr>
              <w:pStyle w:val="TitleMeeting"/>
              <w:rPr>
                <w:sz w:val="24"/>
              </w:rPr>
            </w:pPr>
          </w:p>
          <w:p w:rsidR="00041B01" w:rsidRPr="00041B01" w:rsidRDefault="0036532A" w:rsidP="008C08F0">
            <w:pPr>
              <w:pStyle w:val="TitleMeeting"/>
              <w:rPr>
                <w:sz w:val="24"/>
              </w:rPr>
            </w:pPr>
            <w:r>
              <w:rPr>
                <w:sz w:val="24"/>
              </w:rPr>
              <w:t>20 J</w:t>
            </w:r>
            <w:r w:rsidR="00C96984" w:rsidRPr="00006190">
              <w:rPr>
                <w:sz w:val="24"/>
              </w:rPr>
              <w:t>une 2018</w:t>
            </w:r>
          </w:p>
        </w:tc>
      </w:tr>
      <w:tr w:rsidR="00B83467" w:rsidRPr="00AB7829" w:rsidTr="00EA4AB0">
        <w:tc>
          <w:tcPr>
            <w:tcW w:w="6010" w:type="dxa"/>
            <w:tcBorders>
              <w:top w:val="single" w:sz="8" w:space="0" w:color="auto"/>
            </w:tcBorders>
          </w:tcPr>
          <w:p w:rsidR="00B83467" w:rsidRPr="00AB7829" w:rsidRDefault="00B83467" w:rsidP="00B83467">
            <w:pPr>
              <w:pStyle w:val="TitleInfo"/>
            </w:pPr>
            <w:r w:rsidRPr="00AB7829">
              <w:t>Report by</w:t>
            </w:r>
          </w:p>
        </w:tc>
        <w:tc>
          <w:tcPr>
            <w:tcW w:w="3629" w:type="dxa"/>
            <w:tcBorders>
              <w:top w:val="single" w:sz="8" w:space="0" w:color="auto"/>
            </w:tcBorders>
          </w:tcPr>
          <w:p w:rsidR="00B83467" w:rsidRPr="00AB7829" w:rsidRDefault="008D054B" w:rsidP="00B83467">
            <w:pPr>
              <w:pStyle w:val="TitleInfo"/>
            </w:pPr>
            <w:r w:rsidRPr="00AB7829">
              <w:t>Document Number</w:t>
            </w:r>
          </w:p>
        </w:tc>
      </w:tr>
      <w:tr w:rsidR="00B83467" w:rsidRPr="00AB7829" w:rsidTr="00EA4AB0">
        <w:tc>
          <w:tcPr>
            <w:tcW w:w="6010" w:type="dxa"/>
            <w:tcBorders>
              <w:bottom w:val="single" w:sz="8" w:space="0" w:color="auto"/>
            </w:tcBorders>
            <w:tcMar>
              <w:bottom w:w="227" w:type="dxa"/>
            </w:tcMar>
          </w:tcPr>
          <w:p w:rsidR="00711E14" w:rsidRPr="00AB7829" w:rsidRDefault="009E70A4" w:rsidP="008C08F0">
            <w:pPr>
              <w:pStyle w:val="TitleText"/>
            </w:pPr>
            <w:r>
              <w:t>Assistant Director - Finance</w:t>
            </w:r>
          </w:p>
        </w:tc>
        <w:tc>
          <w:tcPr>
            <w:tcW w:w="3629" w:type="dxa"/>
            <w:tcBorders>
              <w:bottom w:val="single" w:sz="8" w:space="0" w:color="auto"/>
            </w:tcBorders>
            <w:tcMar>
              <w:bottom w:w="227" w:type="dxa"/>
            </w:tcMar>
          </w:tcPr>
          <w:p w:rsidR="00711E14" w:rsidRDefault="00711E14" w:rsidP="00711E14">
            <w:pPr>
              <w:pStyle w:val="TitleText"/>
            </w:pPr>
            <w:bookmarkStart w:id="1" w:name="DocNumber"/>
            <w:bookmarkEnd w:id="1"/>
          </w:p>
          <w:p w:rsidR="005F5942" w:rsidRPr="00AB7829" w:rsidRDefault="005F5942" w:rsidP="00711E14">
            <w:pPr>
              <w:pStyle w:val="TitleText"/>
            </w:pPr>
          </w:p>
        </w:tc>
      </w:tr>
      <w:tr w:rsidR="00B83467" w:rsidRPr="00A677D0" w:rsidTr="00054149">
        <w:trPr>
          <w:trHeight w:val="633"/>
        </w:trPr>
        <w:tc>
          <w:tcPr>
            <w:tcW w:w="9639" w:type="dxa"/>
            <w:gridSpan w:val="2"/>
            <w:tcBorders>
              <w:bottom w:val="single" w:sz="24" w:space="0" w:color="auto"/>
            </w:tcBorders>
            <w:vAlign w:val="center"/>
          </w:tcPr>
          <w:p w:rsidR="00B83467" w:rsidRPr="00302A2B" w:rsidRDefault="00A00878" w:rsidP="008F25D4">
            <w:pPr>
              <w:pStyle w:val="TitleInfo"/>
              <w:spacing w:after="0"/>
              <w:rPr>
                <w:rFonts w:ascii="FoundrySansDemi" w:hAnsi="FoundrySansDemi"/>
                <w:sz w:val="24"/>
              </w:rPr>
            </w:pPr>
            <w:r w:rsidRPr="00302A2B">
              <w:rPr>
                <w:rFonts w:ascii="FoundrySansDemi" w:hAnsi="FoundrySansDemi"/>
                <w:sz w:val="24"/>
              </w:rPr>
              <w:t xml:space="preserve"> </w:t>
            </w:r>
            <w:r w:rsidR="003F4BC1" w:rsidRPr="003F4BC1">
              <w:rPr>
                <w:rFonts w:ascii="FoundrySansDemi" w:hAnsi="FoundrySansDemi"/>
                <w:sz w:val="24"/>
              </w:rPr>
              <w:t>NO PROTECTIVE MARKING</w:t>
            </w:r>
          </w:p>
        </w:tc>
      </w:tr>
      <w:tr w:rsidR="00B83467" w:rsidRPr="00AB7829" w:rsidTr="000C0FAA">
        <w:trPr>
          <w:trHeight w:val="304"/>
        </w:trPr>
        <w:tc>
          <w:tcPr>
            <w:tcW w:w="9639" w:type="dxa"/>
            <w:gridSpan w:val="2"/>
            <w:tcBorders>
              <w:top w:val="single" w:sz="24" w:space="0" w:color="auto"/>
            </w:tcBorders>
          </w:tcPr>
          <w:p w:rsidR="00B83467" w:rsidRPr="00AB7829" w:rsidRDefault="00B83467" w:rsidP="00B83467">
            <w:pPr>
              <w:pStyle w:val="TitleInfo"/>
            </w:pPr>
          </w:p>
        </w:tc>
      </w:tr>
    </w:tbl>
    <w:p w:rsidR="00F82FAB" w:rsidRPr="00754EE1" w:rsidRDefault="00B83467" w:rsidP="006F0DAF">
      <w:pPr>
        <w:pStyle w:val="Heading"/>
        <w:rPr>
          <w:rFonts w:ascii="FoundrySansDemi" w:hAnsi="FoundrySansDemi"/>
          <w:b w:val="0"/>
          <w:sz w:val="24"/>
        </w:rPr>
      </w:pPr>
      <w:r w:rsidRPr="00754EE1">
        <w:rPr>
          <w:rFonts w:ascii="FoundrySansDemi" w:hAnsi="FoundrySansDemi"/>
          <w:b w:val="0"/>
          <w:sz w:val="24"/>
        </w:rPr>
        <w:t>Summary</w:t>
      </w:r>
    </w:p>
    <w:p w:rsidR="00A17DDD" w:rsidRDefault="00A17DDD" w:rsidP="0029791E">
      <w:pPr>
        <w:autoSpaceDE w:val="0"/>
        <w:autoSpaceDN w:val="0"/>
        <w:adjustRightInd w:val="0"/>
        <w:spacing w:after="0" w:line="240" w:lineRule="auto"/>
        <w:rPr>
          <w:rFonts w:cs="Foundry Sans"/>
        </w:rPr>
      </w:pPr>
      <w:r>
        <w:rPr>
          <w:rFonts w:cs="Foundry Sans"/>
        </w:rPr>
        <w:t xml:space="preserve">This report reviews the </w:t>
      </w:r>
      <w:r w:rsidR="00CB05CF">
        <w:rPr>
          <w:rFonts w:cs="Foundry Sans"/>
        </w:rPr>
        <w:t xml:space="preserve">provisional </w:t>
      </w:r>
      <w:r>
        <w:rPr>
          <w:rFonts w:cs="Foundry Sans"/>
        </w:rPr>
        <w:t>financial outturn for the 201</w:t>
      </w:r>
      <w:r w:rsidR="00995899">
        <w:rPr>
          <w:rFonts w:cs="Foundry Sans"/>
        </w:rPr>
        <w:t>7</w:t>
      </w:r>
      <w:r>
        <w:rPr>
          <w:rFonts w:cs="Foundry Sans"/>
        </w:rPr>
        <w:t>/1</w:t>
      </w:r>
      <w:r w:rsidR="00995899">
        <w:rPr>
          <w:rFonts w:cs="Foundry Sans"/>
        </w:rPr>
        <w:t>8</w:t>
      </w:r>
      <w:r>
        <w:rPr>
          <w:rFonts w:cs="Foundry Sans"/>
        </w:rPr>
        <w:t xml:space="preserve"> financial year, sets out the position on the financial reserves and also provides an update to the approved capital programme. </w:t>
      </w:r>
    </w:p>
    <w:p w:rsidR="00A17DDD" w:rsidRDefault="00A17DDD" w:rsidP="000632F7">
      <w:pPr>
        <w:pStyle w:val="Heading"/>
      </w:pPr>
    </w:p>
    <w:p w:rsidR="000632F7" w:rsidRDefault="000C0FAA" w:rsidP="000632F7">
      <w:pPr>
        <w:pStyle w:val="Heading"/>
        <w:rPr>
          <w:rFonts w:ascii="FoundrySansDemi" w:hAnsi="FoundrySansDemi"/>
          <w:b w:val="0"/>
          <w:sz w:val="24"/>
        </w:rPr>
      </w:pPr>
      <w:r w:rsidRPr="00754EE1">
        <w:rPr>
          <w:rFonts w:ascii="FoundrySansDemi" w:hAnsi="FoundrySansDemi"/>
          <w:b w:val="0"/>
          <w:sz w:val="24"/>
        </w:rPr>
        <w:t>Recommendations</w:t>
      </w:r>
    </w:p>
    <w:p w:rsidR="00215EF0" w:rsidRPr="004279BF" w:rsidRDefault="00215EF0" w:rsidP="00995899">
      <w:r>
        <w:t>That the Commissioner</w:t>
      </w:r>
      <w:r w:rsidR="00BD0EEB">
        <w:t>’s Board</w:t>
      </w:r>
      <w:r w:rsidR="00995899">
        <w:t xml:space="preserve"> </w:t>
      </w:r>
      <w:r w:rsidR="00CB05CF">
        <w:t>n</w:t>
      </w:r>
      <w:r w:rsidR="00BD0EEB">
        <w:t>otes</w:t>
      </w:r>
      <w:r w:rsidR="004279BF">
        <w:t xml:space="preserve"> the</w:t>
      </w:r>
      <w:r w:rsidR="00BD0EEB">
        <w:t xml:space="preserve"> </w:t>
      </w:r>
      <w:r w:rsidR="004279BF" w:rsidRPr="004279BF">
        <w:t xml:space="preserve">revenue and capital financial outturn </w:t>
      </w:r>
      <w:r w:rsidR="00CB05CF">
        <w:t xml:space="preserve">position </w:t>
      </w:r>
      <w:r w:rsidR="004279BF" w:rsidRPr="004279BF">
        <w:t>as set out in the report</w:t>
      </w:r>
      <w:r w:rsidR="00CB05CF">
        <w:t>.</w:t>
      </w:r>
    </w:p>
    <w:p w:rsidR="00A17DDD" w:rsidRDefault="00A17DDD" w:rsidP="006F0DAF">
      <w:pPr>
        <w:pStyle w:val="Heading"/>
        <w:rPr>
          <w:rFonts w:ascii="FoundrySansDemi" w:hAnsi="FoundrySansDemi"/>
          <w:b w:val="0"/>
          <w:sz w:val="24"/>
        </w:rPr>
      </w:pPr>
    </w:p>
    <w:p w:rsidR="00F82FAB" w:rsidRPr="00754EE1" w:rsidRDefault="009D74A1" w:rsidP="006F0DAF">
      <w:pPr>
        <w:pStyle w:val="Heading"/>
        <w:rPr>
          <w:rFonts w:ascii="FoundrySansDemi" w:hAnsi="FoundrySansDemi"/>
          <w:b w:val="0"/>
          <w:sz w:val="24"/>
        </w:rPr>
      </w:pPr>
      <w:r w:rsidRPr="00754EE1">
        <w:rPr>
          <w:rFonts w:ascii="FoundrySansDemi" w:hAnsi="FoundrySansDemi"/>
          <w:b w:val="0"/>
          <w:sz w:val="24"/>
        </w:rPr>
        <w:t>Background</w:t>
      </w:r>
    </w:p>
    <w:p w:rsidR="00CC5686" w:rsidRDefault="008F25D4" w:rsidP="00A47102">
      <w:pPr>
        <w:pStyle w:val="NumbList"/>
        <w:numPr>
          <w:ilvl w:val="0"/>
          <w:numId w:val="72"/>
        </w:numPr>
        <w:ind w:left="426" w:hanging="426"/>
      </w:pPr>
      <w:r w:rsidRPr="00E60ED4">
        <w:t xml:space="preserve">This report </w:t>
      </w:r>
      <w:r w:rsidR="000021B4">
        <w:t>presents</w:t>
      </w:r>
      <w:r w:rsidR="000021B4" w:rsidRPr="00E60ED4">
        <w:t xml:space="preserve"> </w:t>
      </w:r>
      <w:r w:rsidRPr="00E60ED4">
        <w:t xml:space="preserve">the </w:t>
      </w:r>
      <w:r w:rsidR="00A17DDD">
        <w:t>provisional</w:t>
      </w:r>
      <w:r w:rsidR="00A17DDD" w:rsidRPr="00E60ED4">
        <w:t xml:space="preserve"> </w:t>
      </w:r>
      <w:r w:rsidR="000021B4">
        <w:t>financial</w:t>
      </w:r>
      <w:r w:rsidR="00F0244C">
        <w:t xml:space="preserve"> </w:t>
      </w:r>
      <w:r w:rsidR="00980E1F">
        <w:t xml:space="preserve">outturn </w:t>
      </w:r>
      <w:r w:rsidRPr="00E60ED4">
        <w:t xml:space="preserve">position for </w:t>
      </w:r>
      <w:r w:rsidRPr="005E45C4">
        <w:t>20</w:t>
      </w:r>
      <w:r w:rsidR="00980E1F">
        <w:t>17/</w:t>
      </w:r>
      <w:r w:rsidRPr="005E45C4">
        <w:t>1</w:t>
      </w:r>
      <w:r w:rsidR="002926C1">
        <w:t>8</w:t>
      </w:r>
      <w:r w:rsidR="0022033A">
        <w:t>.</w:t>
      </w:r>
      <w:r w:rsidR="001C541D">
        <w:t xml:space="preserve"> </w:t>
      </w:r>
      <w:r w:rsidR="00E62080">
        <w:t>T</w:t>
      </w:r>
      <w:r w:rsidR="00114123" w:rsidRPr="00114123">
        <w:t xml:space="preserve">he draft </w:t>
      </w:r>
      <w:r w:rsidR="00CB05CF">
        <w:t>S</w:t>
      </w:r>
      <w:r w:rsidR="00114123" w:rsidRPr="00114123">
        <w:t xml:space="preserve">tatement of </w:t>
      </w:r>
      <w:r w:rsidR="00CB05CF">
        <w:t>A</w:t>
      </w:r>
      <w:r w:rsidR="00114123" w:rsidRPr="00114123">
        <w:t xml:space="preserve">ccounts </w:t>
      </w:r>
      <w:r w:rsidR="00F40C1B">
        <w:t xml:space="preserve">was approved </w:t>
      </w:r>
      <w:r w:rsidR="00114123" w:rsidRPr="00114123">
        <w:t xml:space="preserve">by the </w:t>
      </w:r>
      <w:r w:rsidR="008C08F0">
        <w:t>Chief Finance Officer (Director of Corporate Services)</w:t>
      </w:r>
      <w:r w:rsidR="00114123" w:rsidRPr="00114123">
        <w:t xml:space="preserve"> </w:t>
      </w:r>
      <w:r w:rsidR="00CB05CF">
        <w:t>to meet the statutory deadline of</w:t>
      </w:r>
      <w:r w:rsidR="00F40C1B">
        <w:t xml:space="preserve"> 3</w:t>
      </w:r>
      <w:r w:rsidR="00114123" w:rsidRPr="00114123">
        <w:t xml:space="preserve">1 May, </w:t>
      </w:r>
      <w:r w:rsidR="00CB05CF">
        <w:t xml:space="preserve">and is now </w:t>
      </w:r>
      <w:r w:rsidR="00114123" w:rsidRPr="00114123">
        <w:t xml:space="preserve">subject to external audit, with final accounts </w:t>
      </w:r>
      <w:r w:rsidR="00F40C1B">
        <w:t xml:space="preserve">to be </w:t>
      </w:r>
      <w:r w:rsidR="008C08F0">
        <w:t xml:space="preserve">approved by the </w:t>
      </w:r>
      <w:r w:rsidR="003F4BC1">
        <w:t>London Fire Commissioner (</w:t>
      </w:r>
      <w:r w:rsidR="008C08F0">
        <w:t>LFC</w:t>
      </w:r>
      <w:r w:rsidR="003F4BC1">
        <w:t>)</w:t>
      </w:r>
      <w:r w:rsidR="008C08F0">
        <w:t xml:space="preserve"> and </w:t>
      </w:r>
      <w:r w:rsidR="00114123" w:rsidRPr="00114123">
        <w:t xml:space="preserve">published by 31 July. </w:t>
      </w:r>
    </w:p>
    <w:p w:rsidR="008F25D4" w:rsidRDefault="00AD6D10" w:rsidP="00A47102">
      <w:pPr>
        <w:pStyle w:val="NumbList"/>
        <w:numPr>
          <w:ilvl w:val="0"/>
          <w:numId w:val="72"/>
        </w:numPr>
        <w:ind w:left="426" w:hanging="426"/>
      </w:pPr>
      <w:r>
        <w:t>The data set out in th</w:t>
      </w:r>
      <w:r w:rsidR="0050740A">
        <w:t>is</w:t>
      </w:r>
      <w:r>
        <w:t xml:space="preserve"> report </w:t>
      </w:r>
      <w:r w:rsidR="00A17DDD">
        <w:t>has also been</w:t>
      </w:r>
      <w:r>
        <w:t xml:space="preserve"> used to prepare the financial element of a summary report on performance for the LFC</w:t>
      </w:r>
      <w:r w:rsidR="00A17DDD">
        <w:t xml:space="preserve"> at </w:t>
      </w:r>
      <w:r w:rsidR="00A17DDD" w:rsidRPr="001B2455">
        <w:t xml:space="preserve">Appendix </w:t>
      </w:r>
      <w:r w:rsidR="007510E5">
        <w:t>7</w:t>
      </w:r>
      <w:r w:rsidR="006D3A89">
        <w:t xml:space="preserve">, </w:t>
      </w:r>
      <w:r>
        <w:t xml:space="preserve">to be submitted to the </w:t>
      </w:r>
      <w:r w:rsidR="003F4BC1" w:rsidRPr="003F4BC1">
        <w:t xml:space="preserve">London Assembly Fire, Resilience and Emergency Planning (FREP) </w:t>
      </w:r>
      <w:r w:rsidR="00CC5686">
        <w:t xml:space="preserve">Committee </w:t>
      </w:r>
      <w:r>
        <w:t xml:space="preserve">as well as the Budget and Performance Committee (BPC). </w:t>
      </w:r>
    </w:p>
    <w:p w:rsidR="008F25D4" w:rsidRDefault="00BA6398" w:rsidP="00A47102">
      <w:pPr>
        <w:pStyle w:val="NumbList"/>
        <w:numPr>
          <w:ilvl w:val="0"/>
          <w:numId w:val="72"/>
        </w:numPr>
        <w:ind w:left="426" w:hanging="426"/>
      </w:pPr>
      <w:r w:rsidRPr="00BA6398">
        <w:t xml:space="preserve">A summary of the financial position for the revenue budget is provided </w:t>
      </w:r>
      <w:r w:rsidR="008F25D4" w:rsidRPr="00E60ED4">
        <w:t xml:space="preserve">in </w:t>
      </w:r>
      <w:r w:rsidR="008F25D4">
        <w:t>Appendix 1</w:t>
      </w:r>
      <w:r w:rsidR="00960C2A">
        <w:t xml:space="preserve">, with a </w:t>
      </w:r>
      <w:r w:rsidR="008F25D4">
        <w:t>f</w:t>
      </w:r>
      <w:r w:rsidR="008F25D4" w:rsidRPr="00E60ED4">
        <w:t>urther breakdown of the financial position</w:t>
      </w:r>
      <w:r w:rsidR="00E40C19">
        <w:t xml:space="preserve"> </w:t>
      </w:r>
      <w:r w:rsidR="008F25D4" w:rsidRPr="00E60ED4">
        <w:t xml:space="preserve">provided in Appendix </w:t>
      </w:r>
      <w:r w:rsidR="008F25D4">
        <w:t>2</w:t>
      </w:r>
      <w:r w:rsidR="009030BD">
        <w:t>,</w:t>
      </w:r>
      <w:r w:rsidR="008F25D4">
        <w:t xml:space="preserve"> </w:t>
      </w:r>
      <w:r w:rsidR="008F25D4" w:rsidRPr="000B081C">
        <w:t xml:space="preserve">Appendix </w:t>
      </w:r>
      <w:r w:rsidR="009030BD">
        <w:t>3</w:t>
      </w:r>
      <w:r w:rsidR="008F25D4" w:rsidRPr="000B081C">
        <w:t xml:space="preserve"> reports on the progress agains</w:t>
      </w:r>
      <w:r w:rsidR="008F25D4">
        <w:t>t the capital programme for 201</w:t>
      </w:r>
      <w:r w:rsidR="003E448E">
        <w:t>7</w:t>
      </w:r>
      <w:r w:rsidR="008F25D4" w:rsidRPr="000B081C">
        <w:t>/1</w:t>
      </w:r>
      <w:r w:rsidR="003E448E">
        <w:t>8</w:t>
      </w:r>
      <w:r w:rsidR="009030BD">
        <w:t>,</w:t>
      </w:r>
      <w:r w:rsidR="008F25D4" w:rsidRPr="000B081C">
        <w:t xml:space="preserve"> </w:t>
      </w:r>
      <w:r w:rsidR="008F25D4">
        <w:t xml:space="preserve">Appendix </w:t>
      </w:r>
      <w:r w:rsidR="009030BD">
        <w:t>4</w:t>
      </w:r>
      <w:r w:rsidR="008F25D4">
        <w:t xml:space="preserve"> shows the risks </w:t>
      </w:r>
      <w:r w:rsidR="008F25D4" w:rsidRPr="00FB4A27">
        <w:t>that have not been quantified in this report</w:t>
      </w:r>
      <w:r w:rsidR="003D7C4B">
        <w:t xml:space="preserve"> and continue into 2018/19</w:t>
      </w:r>
      <w:r w:rsidR="009030BD">
        <w:t>,</w:t>
      </w:r>
      <w:r w:rsidR="009030BD" w:rsidRPr="009030BD">
        <w:t xml:space="preserve"> </w:t>
      </w:r>
      <w:r w:rsidR="009030BD" w:rsidRPr="001B2455">
        <w:t>Appendix 5 provides an analysis of outstanding debt relating to charges for Shut in Lift incidents</w:t>
      </w:r>
      <w:r w:rsidR="000374B5" w:rsidRPr="001B2455">
        <w:t xml:space="preserve">, </w:t>
      </w:r>
      <w:r w:rsidR="009030BD" w:rsidRPr="003F4BC1">
        <w:t xml:space="preserve">Appendix 6 meets the requirement to disclose </w:t>
      </w:r>
      <w:r w:rsidR="00A17DDD">
        <w:t>required</w:t>
      </w:r>
      <w:r w:rsidR="00A17DDD" w:rsidRPr="003F4BC1">
        <w:t xml:space="preserve"> </w:t>
      </w:r>
      <w:r w:rsidR="009030BD" w:rsidRPr="003F4BC1">
        <w:t>budget virements within the quarter under financial regulation 9</w:t>
      </w:r>
      <w:r w:rsidR="007510E5">
        <w:t xml:space="preserve"> and Appendix 7</w:t>
      </w:r>
      <w:r w:rsidR="000374B5">
        <w:t xml:space="preserve"> </w:t>
      </w:r>
      <w:r w:rsidR="001B2455">
        <w:t>provides the Financial Element on P</w:t>
      </w:r>
      <w:r w:rsidR="007510E5">
        <w:t>erformance.</w:t>
      </w:r>
    </w:p>
    <w:p w:rsidR="00EC18B4" w:rsidRPr="006D4484" w:rsidRDefault="00EC18B4" w:rsidP="009030BD">
      <w:pPr>
        <w:pStyle w:val="Heading"/>
        <w:ind w:left="426" w:hanging="426"/>
        <w:rPr>
          <w:rFonts w:ascii="FoundrySansDemi" w:hAnsi="FoundrySansDemi"/>
        </w:rPr>
      </w:pPr>
      <w:r w:rsidRPr="006D4484">
        <w:rPr>
          <w:rFonts w:ascii="FoundrySansDemi" w:hAnsi="FoundrySansDemi"/>
          <w:b w:val="0"/>
          <w:sz w:val="24"/>
        </w:rPr>
        <w:t>Revenue</w:t>
      </w:r>
      <w:r w:rsidR="006231FC">
        <w:rPr>
          <w:rFonts w:ascii="FoundrySansDemi" w:hAnsi="FoundrySansDemi"/>
          <w:b w:val="0"/>
          <w:sz w:val="24"/>
        </w:rPr>
        <w:t xml:space="preserve"> Summary</w:t>
      </w:r>
    </w:p>
    <w:p w:rsidR="009D3494" w:rsidRDefault="00EC18B4" w:rsidP="0029791E">
      <w:pPr>
        <w:pStyle w:val="NumbList"/>
        <w:numPr>
          <w:ilvl w:val="0"/>
          <w:numId w:val="72"/>
        </w:numPr>
        <w:ind w:left="426" w:hanging="426"/>
      </w:pPr>
      <w:r w:rsidRPr="00DB759C">
        <w:t>T</w:t>
      </w:r>
      <w:r>
        <w:t xml:space="preserve">he </w:t>
      </w:r>
      <w:r w:rsidR="002B4ED3">
        <w:t>provisional</w:t>
      </w:r>
      <w:r w:rsidR="003D7C4B">
        <w:t xml:space="preserve"> </w:t>
      </w:r>
      <w:r>
        <w:t>outturn position for 2017/18 on the revenue budget is an underspend of £</w:t>
      </w:r>
      <w:r w:rsidR="00487F7A">
        <w:t>11,</w:t>
      </w:r>
      <w:r w:rsidR="002A3097">
        <w:t>878</w:t>
      </w:r>
      <w:r>
        <w:t>k (</w:t>
      </w:r>
      <w:r w:rsidR="002A3097">
        <w:t>3.0</w:t>
      </w:r>
      <w:r w:rsidR="00B116F7">
        <w:t xml:space="preserve">%). </w:t>
      </w:r>
      <w:r w:rsidR="009D3494">
        <w:t>However as noted above</w:t>
      </w:r>
      <w:r w:rsidR="00FB462B">
        <w:t>,</w:t>
      </w:r>
      <w:r w:rsidR="00565368">
        <w:t xml:space="preserve"> this is s</w:t>
      </w:r>
      <w:r w:rsidR="00565368" w:rsidRPr="00565368">
        <w:t>ubject to external audit, with final accounts to be approved by the Lo</w:t>
      </w:r>
      <w:r w:rsidR="00565368">
        <w:t>ndon Fire Commissioner (LFC)</w:t>
      </w:r>
      <w:r w:rsidR="009D3494">
        <w:t xml:space="preserve"> </w:t>
      </w:r>
      <w:r w:rsidR="00635B11">
        <w:t>and published by 31 July</w:t>
      </w:r>
      <w:r w:rsidR="00AD6D10">
        <w:t>.</w:t>
      </w:r>
      <w:r w:rsidR="00FB462B">
        <w:t xml:space="preserve"> </w:t>
      </w:r>
    </w:p>
    <w:p w:rsidR="000D2556" w:rsidRPr="000D2556" w:rsidRDefault="000D2556" w:rsidP="00A47102">
      <w:pPr>
        <w:pStyle w:val="NumbList"/>
        <w:numPr>
          <w:ilvl w:val="0"/>
          <w:numId w:val="72"/>
        </w:numPr>
        <w:ind w:left="426" w:hanging="426"/>
      </w:pPr>
      <w:r>
        <w:t>T</w:t>
      </w:r>
      <w:r w:rsidRPr="000D2556">
        <w:t xml:space="preserve">his report shows how the underspend could be used to supplement the Budget Flexibility </w:t>
      </w:r>
      <w:r w:rsidR="00CB05CF">
        <w:t>r</w:t>
      </w:r>
      <w:r w:rsidRPr="000D2556">
        <w:t>eserve and help to mitigate</w:t>
      </w:r>
      <w:r w:rsidR="00EE5A17">
        <w:t xml:space="preserve"> the budget deficit anticipated </w:t>
      </w:r>
      <w:r w:rsidRPr="000D2556">
        <w:t>over the next four years.</w:t>
      </w:r>
      <w:r w:rsidR="001C2308">
        <w:t xml:space="preserve"> </w:t>
      </w:r>
      <w:r w:rsidRPr="000D2556">
        <w:t>This would increase the existing Budg</w:t>
      </w:r>
      <w:r>
        <w:t>et Flexibility reserve from £11.5m to £</w:t>
      </w:r>
      <w:r w:rsidR="007510E5">
        <w:t>1</w:t>
      </w:r>
      <w:r w:rsidR="000B411F">
        <w:t>8.7</w:t>
      </w:r>
      <w:r w:rsidR="00487F7A" w:rsidRPr="000D2556">
        <w:t>m</w:t>
      </w:r>
      <w:r w:rsidR="00487F7A">
        <w:t xml:space="preserve"> </w:t>
      </w:r>
      <w:r w:rsidR="00BA6398">
        <w:t>at the start of the 2018/19 financial year.</w:t>
      </w:r>
      <w:r w:rsidRPr="000D2556">
        <w:t xml:space="preserve"> </w:t>
      </w:r>
    </w:p>
    <w:p w:rsidR="00AA2403" w:rsidRDefault="00AA2403" w:rsidP="00A47102">
      <w:pPr>
        <w:pStyle w:val="NumbList"/>
        <w:numPr>
          <w:ilvl w:val="0"/>
          <w:numId w:val="72"/>
        </w:numPr>
        <w:ind w:left="426" w:hanging="426"/>
      </w:pPr>
      <w:r>
        <w:t xml:space="preserve">The table </w:t>
      </w:r>
      <w:r w:rsidR="00AF0939">
        <w:t xml:space="preserve">below </w:t>
      </w:r>
      <w:r>
        <w:t xml:space="preserve">provides </w:t>
      </w:r>
      <w:r w:rsidR="00AF0939">
        <w:t xml:space="preserve">both </w:t>
      </w:r>
      <w:r>
        <w:t xml:space="preserve">a high level summary of the material outturn </w:t>
      </w:r>
      <w:r w:rsidR="00B211D9">
        <w:t xml:space="preserve">underspends </w:t>
      </w:r>
      <w:r>
        <w:t xml:space="preserve">and commentary to show any potential impact for future years spends. </w:t>
      </w:r>
    </w:p>
    <w:tbl>
      <w:tblPr>
        <w:tblStyle w:val="TableGrid"/>
        <w:tblW w:w="10065" w:type="dxa"/>
        <w:tblLook w:val="04A0" w:firstRow="1" w:lastRow="0" w:firstColumn="1" w:lastColumn="0" w:noHBand="0" w:noVBand="1"/>
      </w:tblPr>
      <w:tblGrid>
        <w:gridCol w:w="2552"/>
        <w:gridCol w:w="1524"/>
        <w:gridCol w:w="5989"/>
      </w:tblGrid>
      <w:tr w:rsidR="00C171C3" w:rsidRPr="008D29F5" w:rsidTr="0017737B">
        <w:trPr>
          <w:tblHeader/>
        </w:trPr>
        <w:tc>
          <w:tcPr>
            <w:tcW w:w="2552" w:type="dxa"/>
            <w:shd w:val="clear" w:color="auto" w:fill="D9D9D9" w:themeFill="background1" w:themeFillShade="D9"/>
          </w:tcPr>
          <w:p w:rsidR="00C171C3" w:rsidRPr="00830757" w:rsidRDefault="00C171C3" w:rsidP="00940B79">
            <w:pPr>
              <w:pStyle w:val="NumbList"/>
              <w:spacing w:after="0"/>
              <w:rPr>
                <w:b/>
              </w:rPr>
            </w:pPr>
            <w:r w:rsidRPr="00830757">
              <w:rPr>
                <w:b/>
              </w:rPr>
              <w:t>Underspend</w:t>
            </w:r>
          </w:p>
        </w:tc>
        <w:tc>
          <w:tcPr>
            <w:tcW w:w="1524" w:type="dxa"/>
            <w:shd w:val="clear" w:color="auto" w:fill="D9D9D9" w:themeFill="background1" w:themeFillShade="D9"/>
          </w:tcPr>
          <w:p w:rsidR="00C171C3" w:rsidRPr="00830757" w:rsidRDefault="00C171C3" w:rsidP="00940B79">
            <w:pPr>
              <w:pStyle w:val="NumbList"/>
              <w:spacing w:after="0"/>
              <w:rPr>
                <w:b/>
              </w:rPr>
            </w:pPr>
            <w:r w:rsidRPr="00830757">
              <w:rPr>
                <w:b/>
              </w:rPr>
              <w:t>Outturn Underspend</w:t>
            </w:r>
          </w:p>
          <w:p w:rsidR="00C171C3" w:rsidRPr="00830757" w:rsidRDefault="00C171C3" w:rsidP="00940B79">
            <w:pPr>
              <w:pStyle w:val="NumbList"/>
              <w:spacing w:after="0"/>
              <w:rPr>
                <w:b/>
              </w:rPr>
            </w:pPr>
            <w:r w:rsidRPr="00830757">
              <w:rPr>
                <w:b/>
              </w:rPr>
              <w:t>£m</w:t>
            </w:r>
          </w:p>
        </w:tc>
        <w:tc>
          <w:tcPr>
            <w:tcW w:w="5989" w:type="dxa"/>
            <w:shd w:val="clear" w:color="auto" w:fill="D9D9D9" w:themeFill="background1" w:themeFillShade="D9"/>
          </w:tcPr>
          <w:p w:rsidR="00C171C3" w:rsidRPr="00830757" w:rsidRDefault="00C171C3" w:rsidP="00940B79">
            <w:pPr>
              <w:pStyle w:val="NumbList"/>
              <w:spacing w:after="0"/>
              <w:rPr>
                <w:b/>
              </w:rPr>
            </w:pPr>
            <w:r w:rsidRPr="00830757">
              <w:rPr>
                <w:b/>
              </w:rPr>
              <w:t>Comments</w:t>
            </w:r>
          </w:p>
        </w:tc>
      </w:tr>
      <w:tr w:rsidR="00C171C3" w:rsidTr="006D4484">
        <w:tc>
          <w:tcPr>
            <w:tcW w:w="2552" w:type="dxa"/>
          </w:tcPr>
          <w:p w:rsidR="00C171C3" w:rsidRDefault="00C171C3" w:rsidP="00940B79">
            <w:pPr>
              <w:pStyle w:val="NumbList"/>
              <w:spacing w:after="0"/>
            </w:pPr>
            <w:r>
              <w:t>Operational Salaries</w:t>
            </w:r>
          </w:p>
        </w:tc>
        <w:tc>
          <w:tcPr>
            <w:tcW w:w="1524" w:type="dxa"/>
          </w:tcPr>
          <w:p w:rsidR="00C171C3" w:rsidRDefault="00C171C3" w:rsidP="00940B79">
            <w:pPr>
              <w:pStyle w:val="NumbList"/>
              <w:spacing w:after="0"/>
            </w:pPr>
            <w:r>
              <w:t>5.3</w:t>
            </w:r>
          </w:p>
        </w:tc>
        <w:tc>
          <w:tcPr>
            <w:tcW w:w="5989" w:type="dxa"/>
          </w:tcPr>
          <w:p w:rsidR="00C171C3" w:rsidRDefault="00C171C3" w:rsidP="00166928">
            <w:pPr>
              <w:pStyle w:val="NumbList"/>
              <w:spacing w:after="0"/>
            </w:pPr>
            <w:r>
              <w:t xml:space="preserve">This reflects an average of </w:t>
            </w:r>
            <w:r w:rsidR="009F403E" w:rsidRPr="00BF13E7">
              <w:t>19</w:t>
            </w:r>
            <w:r w:rsidR="00524C20" w:rsidRPr="00BF13E7">
              <w:t>6</w:t>
            </w:r>
            <w:r>
              <w:t xml:space="preserve"> vacancies in 2017/18. </w:t>
            </w:r>
            <w:r w:rsidR="00EE5A17">
              <w:t xml:space="preserve">Although </w:t>
            </w:r>
            <w:r w:rsidR="00BA6398">
              <w:t>v</w:t>
            </w:r>
            <w:r>
              <w:t>acancies are forecast to decrease</w:t>
            </w:r>
            <w:r w:rsidR="00AF0939">
              <w:t xml:space="preserve"> from the 2017/18</w:t>
            </w:r>
            <w:r w:rsidR="00610BA5">
              <w:t xml:space="preserve"> position</w:t>
            </w:r>
            <w:r w:rsidR="00AF0939">
              <w:t>,</w:t>
            </w:r>
            <w:r>
              <w:t xml:space="preserve"> the 2018/19 budget </w:t>
            </w:r>
            <w:r w:rsidR="00AF0939">
              <w:t xml:space="preserve">includes an additional </w:t>
            </w:r>
            <w:r w:rsidR="00033B00">
              <w:t>£</w:t>
            </w:r>
            <w:r w:rsidR="00166928">
              <w:t>3,724</w:t>
            </w:r>
            <w:r w:rsidR="00033B00">
              <w:t xml:space="preserve">k </w:t>
            </w:r>
            <w:r w:rsidR="00AF0939">
              <w:t>vacancy margin</w:t>
            </w:r>
            <w:r w:rsidR="00166928">
              <w:t xml:space="preserve"> above the steady state level,</w:t>
            </w:r>
            <w:r>
              <w:t xml:space="preserve"> to reflect that there are still expected to be vacancies in 2018/1</w:t>
            </w:r>
            <w:r w:rsidR="00BF13E7">
              <w:t>9</w:t>
            </w:r>
            <w:r>
              <w:t>.</w:t>
            </w:r>
          </w:p>
        </w:tc>
      </w:tr>
      <w:tr w:rsidR="00C171C3" w:rsidTr="006D4484">
        <w:tc>
          <w:tcPr>
            <w:tcW w:w="2552" w:type="dxa"/>
          </w:tcPr>
          <w:p w:rsidR="00C171C3" w:rsidRDefault="00C171C3" w:rsidP="00940B79">
            <w:pPr>
              <w:pStyle w:val="NumbList"/>
              <w:spacing w:after="0"/>
            </w:pPr>
            <w:r>
              <w:t>Property Rates</w:t>
            </w:r>
          </w:p>
        </w:tc>
        <w:tc>
          <w:tcPr>
            <w:tcW w:w="1524" w:type="dxa"/>
          </w:tcPr>
          <w:p w:rsidR="00C171C3" w:rsidRDefault="00C171C3">
            <w:pPr>
              <w:pStyle w:val="NumbList"/>
              <w:spacing w:after="0"/>
            </w:pPr>
            <w:r>
              <w:t>3.1</w:t>
            </w:r>
          </w:p>
        </w:tc>
        <w:tc>
          <w:tcPr>
            <w:tcW w:w="5989" w:type="dxa"/>
          </w:tcPr>
          <w:p w:rsidR="00C171C3" w:rsidRDefault="00D35D47" w:rsidP="005D62D1">
            <w:pPr>
              <w:pStyle w:val="NumbList"/>
              <w:spacing w:after="0"/>
            </w:pPr>
            <w:r>
              <w:t>£2</w:t>
            </w:r>
            <w:r w:rsidR="00800747">
              <w:t>,</w:t>
            </w:r>
            <w:r>
              <w:t>017k o</w:t>
            </w:r>
            <w:r w:rsidR="00800747">
              <w:t>f this un</w:t>
            </w:r>
            <w:r w:rsidR="00535453" w:rsidRPr="00535453">
              <w:t>dersp</w:t>
            </w:r>
            <w:r w:rsidR="00535453">
              <w:t xml:space="preserve">end on property rates </w:t>
            </w:r>
            <w:r w:rsidR="00800747">
              <w:t xml:space="preserve">relates to </w:t>
            </w:r>
            <w:r w:rsidR="00AF0939">
              <w:t>a</w:t>
            </w:r>
            <w:r w:rsidR="00AF0939" w:rsidRPr="00535453">
              <w:t xml:space="preserve"> </w:t>
            </w:r>
            <w:r w:rsidR="00535453" w:rsidRPr="00535453">
              <w:t xml:space="preserve">successful appeal that was lodged by the Estates Management </w:t>
            </w:r>
            <w:r w:rsidR="00AF0939">
              <w:t>C</w:t>
            </w:r>
            <w:r w:rsidR="00535453" w:rsidRPr="00535453">
              <w:t>onsultant for the 2010 valuations</w:t>
            </w:r>
            <w:r w:rsidR="00EE5A17">
              <w:t xml:space="preserve">. </w:t>
            </w:r>
            <w:r w:rsidR="00AF0939">
              <w:t>A further</w:t>
            </w:r>
            <w:r w:rsidR="00535453" w:rsidRPr="00535453">
              <w:t xml:space="preserve"> </w:t>
            </w:r>
            <w:r w:rsidR="00800747">
              <w:t xml:space="preserve">£1,095k is </w:t>
            </w:r>
            <w:r w:rsidR="005D62D1">
              <w:t xml:space="preserve">due to surplus funding that could now be released </w:t>
            </w:r>
            <w:r w:rsidR="00AF0939">
              <w:t>following</w:t>
            </w:r>
            <w:r w:rsidR="00F70F0F">
              <w:t xml:space="preserve"> a</w:t>
            </w:r>
            <w:r w:rsidR="00F70F0F" w:rsidRPr="00F70F0F">
              <w:t>dvice from the Estates Management Consultant</w:t>
            </w:r>
            <w:r w:rsidR="005D62D1">
              <w:t xml:space="preserve">. </w:t>
            </w:r>
          </w:p>
        </w:tc>
      </w:tr>
      <w:tr w:rsidR="00C171C3" w:rsidTr="006D4484">
        <w:tc>
          <w:tcPr>
            <w:tcW w:w="2552" w:type="dxa"/>
          </w:tcPr>
          <w:p w:rsidR="00C171C3" w:rsidRDefault="00C171C3" w:rsidP="00940B79">
            <w:pPr>
              <w:pStyle w:val="NumbList"/>
              <w:spacing w:after="0"/>
            </w:pPr>
            <w:r>
              <w:t>FRS Staff</w:t>
            </w:r>
          </w:p>
        </w:tc>
        <w:tc>
          <w:tcPr>
            <w:tcW w:w="1524" w:type="dxa"/>
          </w:tcPr>
          <w:p w:rsidR="00C171C3" w:rsidRDefault="00C171C3">
            <w:pPr>
              <w:pStyle w:val="NumbList"/>
              <w:spacing w:after="0"/>
            </w:pPr>
            <w:r>
              <w:t>1.4</w:t>
            </w:r>
          </w:p>
        </w:tc>
        <w:tc>
          <w:tcPr>
            <w:tcW w:w="5989" w:type="dxa"/>
          </w:tcPr>
          <w:p w:rsidR="00C171C3" w:rsidRDefault="001748B8" w:rsidP="00940B79">
            <w:pPr>
              <w:pStyle w:val="NumbList"/>
              <w:spacing w:after="0"/>
            </w:pPr>
            <w:r>
              <w:t xml:space="preserve">This is </w:t>
            </w:r>
            <w:r w:rsidRPr="001748B8">
              <w:t>because recruitment to a number of key roles has taken longer than anticipated</w:t>
            </w:r>
            <w:r>
              <w:t>.</w:t>
            </w:r>
          </w:p>
        </w:tc>
      </w:tr>
      <w:tr w:rsidR="00AD6D10" w:rsidTr="00A47102">
        <w:trPr>
          <w:trHeight w:val="567"/>
        </w:trPr>
        <w:tc>
          <w:tcPr>
            <w:tcW w:w="2552" w:type="dxa"/>
          </w:tcPr>
          <w:p w:rsidR="00AD6D10" w:rsidRDefault="00AD6D10" w:rsidP="00A47102">
            <w:pPr>
              <w:pStyle w:val="NumbList"/>
              <w:spacing w:after="0"/>
            </w:pPr>
            <w:r>
              <w:t>Customer and Client Receipts</w:t>
            </w:r>
          </w:p>
        </w:tc>
        <w:tc>
          <w:tcPr>
            <w:tcW w:w="1524" w:type="dxa"/>
          </w:tcPr>
          <w:p w:rsidR="00AD6D10" w:rsidRDefault="00AD6D10" w:rsidP="00A47102">
            <w:pPr>
              <w:pStyle w:val="NumbList"/>
              <w:spacing w:after="0"/>
            </w:pPr>
            <w:r>
              <w:t>1.4</w:t>
            </w:r>
          </w:p>
        </w:tc>
        <w:tc>
          <w:tcPr>
            <w:tcW w:w="5989" w:type="dxa"/>
          </w:tcPr>
          <w:p w:rsidR="009522EF" w:rsidRPr="00C1296C" w:rsidRDefault="00AD6D10" w:rsidP="00610BA5">
            <w:pPr>
              <w:spacing w:after="0"/>
            </w:pPr>
            <w:r w:rsidRPr="00027075">
              <w:t>This is due to</w:t>
            </w:r>
            <w:r w:rsidR="009522EF">
              <w:t xml:space="preserve"> the</w:t>
            </w:r>
            <w:r>
              <w:t xml:space="preserve"> </w:t>
            </w:r>
            <w:r w:rsidR="009522EF">
              <w:t xml:space="preserve">inclusion of </w:t>
            </w:r>
            <w:r>
              <w:t>£0.5m</w:t>
            </w:r>
            <w:r w:rsidR="00A979E7">
              <w:t xml:space="preserve"> income</w:t>
            </w:r>
            <w:r>
              <w:t xml:space="preserve"> </w:t>
            </w:r>
            <w:r w:rsidR="009522EF">
              <w:t>for LIFE, cadets and borough led Community Safety initiatives</w:t>
            </w:r>
            <w:r w:rsidR="00A979E7">
              <w:t xml:space="preserve"> not utilised this year</w:t>
            </w:r>
            <w:r w:rsidR="009522EF">
              <w:t>, which is to be transferred to the Fire Safety and Youth Engagement earmarked reserve</w:t>
            </w:r>
            <w:r w:rsidR="00A979E7">
              <w:t>. This also includes a</w:t>
            </w:r>
            <w:r>
              <w:t xml:space="preserve"> £0.8m</w:t>
            </w:r>
            <w:r w:rsidR="00EF79AF">
              <w:t xml:space="preserve"> </w:t>
            </w:r>
            <w:r w:rsidR="00610BA5">
              <w:t>adjustment to</w:t>
            </w:r>
            <w:r w:rsidR="001F6890">
              <w:t xml:space="preserve"> </w:t>
            </w:r>
            <w:r w:rsidR="001F6890" w:rsidRPr="001F6890">
              <w:t>balances carried forward from previous years</w:t>
            </w:r>
            <w:r w:rsidR="00A979E7">
              <w:t xml:space="preserve"> </w:t>
            </w:r>
            <w:r w:rsidR="001F6890" w:rsidRPr="001F6890">
              <w:t xml:space="preserve">relating to </w:t>
            </w:r>
            <w:r w:rsidR="00B211D9">
              <w:t>telecommunications income</w:t>
            </w:r>
            <w:r w:rsidR="001F6890">
              <w:t>, identified in 2017/18</w:t>
            </w:r>
            <w:r w:rsidR="00A979E7">
              <w:t xml:space="preserve"> as part of the</w:t>
            </w:r>
            <w:r w:rsidR="001F6890">
              <w:t xml:space="preserve"> end of year reconciliation</w:t>
            </w:r>
            <w:r w:rsidR="00610BA5">
              <w:t>s</w:t>
            </w:r>
            <w:r w:rsidR="001F6890">
              <w:t>.</w:t>
            </w:r>
          </w:p>
        </w:tc>
      </w:tr>
      <w:tr w:rsidR="00C171C3" w:rsidTr="006D4484">
        <w:tc>
          <w:tcPr>
            <w:tcW w:w="2552" w:type="dxa"/>
          </w:tcPr>
          <w:p w:rsidR="00C171C3" w:rsidRDefault="00C171C3" w:rsidP="00940B79">
            <w:pPr>
              <w:pStyle w:val="NumbList"/>
              <w:spacing w:after="0"/>
            </w:pPr>
            <w:r>
              <w:t>Medical and Welfare expenses</w:t>
            </w:r>
          </w:p>
        </w:tc>
        <w:tc>
          <w:tcPr>
            <w:tcW w:w="1524" w:type="dxa"/>
          </w:tcPr>
          <w:p w:rsidR="00C171C3" w:rsidRDefault="00C171C3">
            <w:pPr>
              <w:pStyle w:val="NumbList"/>
              <w:spacing w:after="0"/>
            </w:pPr>
            <w:r>
              <w:t>0.9</w:t>
            </w:r>
          </w:p>
        </w:tc>
        <w:tc>
          <w:tcPr>
            <w:tcW w:w="5989" w:type="dxa"/>
          </w:tcPr>
          <w:p w:rsidR="00C171C3" w:rsidRDefault="00C171C3" w:rsidP="00940B79">
            <w:pPr>
              <w:pStyle w:val="NumbList"/>
              <w:spacing w:after="0"/>
            </w:pPr>
            <w:r>
              <w:t xml:space="preserve">This </w:t>
            </w:r>
            <w:r w:rsidRPr="008821FA">
              <w:t>underspend on the inoculations</w:t>
            </w:r>
            <w:r w:rsidR="009F403E">
              <w:t xml:space="preserve"> </w:t>
            </w:r>
            <w:r w:rsidRPr="008821FA">
              <w:t xml:space="preserve">budget </w:t>
            </w:r>
            <w:r>
              <w:t xml:space="preserve">has </w:t>
            </w:r>
            <w:r w:rsidRPr="00AA1C77">
              <w:t>now</w:t>
            </w:r>
            <w:r>
              <w:t xml:space="preserve"> been </w:t>
            </w:r>
            <w:r w:rsidRPr="00310E8E">
              <w:t xml:space="preserve">transferred to an </w:t>
            </w:r>
            <w:r>
              <w:t>earmarked</w:t>
            </w:r>
            <w:r w:rsidRPr="00310E8E">
              <w:t xml:space="preserve"> reserve to cover the planned </w:t>
            </w:r>
            <w:r>
              <w:t xml:space="preserve">one-off </w:t>
            </w:r>
            <w:r w:rsidRPr="00310E8E">
              <w:t xml:space="preserve">spend in </w:t>
            </w:r>
            <w:r>
              <w:t>future years.</w:t>
            </w:r>
          </w:p>
        </w:tc>
      </w:tr>
      <w:tr w:rsidR="00C171C3" w:rsidTr="006D4484">
        <w:tc>
          <w:tcPr>
            <w:tcW w:w="2552" w:type="dxa"/>
          </w:tcPr>
          <w:p w:rsidR="00C171C3" w:rsidRDefault="00C171C3" w:rsidP="00940B79">
            <w:pPr>
              <w:pStyle w:val="NumbList"/>
              <w:spacing w:after="0"/>
            </w:pPr>
            <w:r>
              <w:t>MFB Act Income</w:t>
            </w:r>
          </w:p>
        </w:tc>
        <w:tc>
          <w:tcPr>
            <w:tcW w:w="1524" w:type="dxa"/>
          </w:tcPr>
          <w:p w:rsidR="00C171C3" w:rsidRDefault="00C171C3">
            <w:pPr>
              <w:pStyle w:val="NumbList"/>
              <w:spacing w:after="0"/>
            </w:pPr>
            <w:r>
              <w:t>0.8</w:t>
            </w:r>
          </w:p>
        </w:tc>
        <w:tc>
          <w:tcPr>
            <w:tcW w:w="5989" w:type="dxa"/>
          </w:tcPr>
          <w:p w:rsidR="00C171C3" w:rsidRDefault="00C171C3" w:rsidP="00940B79">
            <w:pPr>
              <w:pStyle w:val="NumbList"/>
              <w:spacing w:after="0"/>
            </w:pPr>
            <w:r>
              <w:t>This income budget has been increased by £2.1m for 2018/19 to £27.7m, an increase of 8%. That reflects the 2017/18 outturn position and a 5% inflationary increase.</w:t>
            </w:r>
          </w:p>
        </w:tc>
      </w:tr>
      <w:tr w:rsidR="00C171C3" w:rsidTr="006D4484">
        <w:tc>
          <w:tcPr>
            <w:tcW w:w="2552" w:type="dxa"/>
          </w:tcPr>
          <w:p w:rsidR="00C171C3" w:rsidRDefault="00C171C3" w:rsidP="00940B79">
            <w:pPr>
              <w:pStyle w:val="NumbList"/>
              <w:spacing w:after="0"/>
            </w:pPr>
            <w:r>
              <w:t>Hardware and Software</w:t>
            </w:r>
          </w:p>
        </w:tc>
        <w:tc>
          <w:tcPr>
            <w:tcW w:w="1524" w:type="dxa"/>
          </w:tcPr>
          <w:p w:rsidR="00C171C3" w:rsidRDefault="00C171C3">
            <w:pPr>
              <w:pStyle w:val="NumbList"/>
              <w:spacing w:after="0"/>
            </w:pPr>
            <w:r>
              <w:t>0.6</w:t>
            </w:r>
          </w:p>
        </w:tc>
        <w:tc>
          <w:tcPr>
            <w:tcW w:w="5989" w:type="dxa"/>
          </w:tcPr>
          <w:p w:rsidR="00C171C3" w:rsidRDefault="00C171C3" w:rsidP="00492DF3">
            <w:pPr>
              <w:pStyle w:val="NumbList"/>
              <w:spacing w:after="0"/>
            </w:pPr>
            <w:r>
              <w:t xml:space="preserve">Delays </w:t>
            </w:r>
            <w:r w:rsidR="00492DF3">
              <w:t xml:space="preserve">caused by </w:t>
            </w:r>
            <w:r>
              <w:t xml:space="preserve">implementation </w:t>
            </w:r>
            <w:r w:rsidR="00492DF3">
              <w:t>issues on</w:t>
            </w:r>
            <w:r w:rsidR="00AF0939">
              <w:t xml:space="preserve"> a number of </w:t>
            </w:r>
            <w:r>
              <w:t xml:space="preserve">major projects including the mobile data terminals, Windows 10 and </w:t>
            </w:r>
            <w:r w:rsidRPr="00D93E06">
              <w:t>Farynor</w:t>
            </w:r>
            <w:r w:rsidR="00AD70EE">
              <w:t>.</w:t>
            </w:r>
            <w:r w:rsidR="009F403E">
              <w:t xml:space="preserve"> </w:t>
            </w:r>
            <w:r w:rsidR="001748B8">
              <w:t>This</w:t>
            </w:r>
            <w:r w:rsidR="009F403E">
              <w:t xml:space="preserve"> underspend</w:t>
            </w:r>
            <w:r w:rsidR="001748B8">
              <w:t xml:space="preserve"> will be transferred into</w:t>
            </w:r>
            <w:r w:rsidR="00610BA5">
              <w:t xml:space="preserve"> the</w:t>
            </w:r>
            <w:r w:rsidR="001748B8">
              <w:t xml:space="preserve"> ICT Development ear</w:t>
            </w:r>
            <w:r w:rsidR="009F403E">
              <w:t xml:space="preserve">marked reserve to cover planned </w:t>
            </w:r>
            <w:r w:rsidR="001748B8">
              <w:t>spend in 2018/19.</w:t>
            </w:r>
          </w:p>
        </w:tc>
      </w:tr>
      <w:tr w:rsidR="00C171C3" w:rsidTr="004C6754">
        <w:trPr>
          <w:trHeight w:val="567"/>
        </w:trPr>
        <w:tc>
          <w:tcPr>
            <w:tcW w:w="2552" w:type="dxa"/>
          </w:tcPr>
          <w:p w:rsidR="00C171C3" w:rsidRDefault="00C171C3" w:rsidP="00940B79">
            <w:pPr>
              <w:pStyle w:val="NumbList"/>
              <w:spacing w:after="0"/>
            </w:pPr>
            <w:r>
              <w:t>Professional Development</w:t>
            </w:r>
          </w:p>
        </w:tc>
        <w:tc>
          <w:tcPr>
            <w:tcW w:w="1524" w:type="dxa"/>
          </w:tcPr>
          <w:p w:rsidR="00C171C3" w:rsidRDefault="00C171C3">
            <w:pPr>
              <w:pStyle w:val="NumbList"/>
              <w:spacing w:after="0"/>
            </w:pPr>
            <w:r>
              <w:t>0.</w:t>
            </w:r>
            <w:r w:rsidR="00ED4ACB">
              <w:t>6</w:t>
            </w:r>
          </w:p>
        </w:tc>
        <w:tc>
          <w:tcPr>
            <w:tcW w:w="5989" w:type="dxa"/>
          </w:tcPr>
          <w:p w:rsidR="00C171C3" w:rsidRDefault="00C1296C" w:rsidP="00610BA5">
            <w:pPr>
              <w:pStyle w:val="NumbList"/>
              <w:spacing w:after="0"/>
            </w:pPr>
            <w:r w:rsidRPr="00C1296C">
              <w:t xml:space="preserve">This is due to additional underspends on </w:t>
            </w:r>
            <w:r>
              <w:t xml:space="preserve">professional development due to </w:t>
            </w:r>
            <w:r w:rsidR="00C40396">
              <w:t xml:space="preserve">a </w:t>
            </w:r>
            <w:r>
              <w:t xml:space="preserve">reduction in </w:t>
            </w:r>
            <w:r w:rsidRPr="00C1296C">
              <w:t>spend on</w:t>
            </w:r>
            <w:r>
              <w:t xml:space="preserve"> a number of projects including</w:t>
            </w:r>
            <w:r w:rsidRPr="00C1296C">
              <w:t xml:space="preserve"> delays in the commencement of Fire Safety training</w:t>
            </w:r>
            <w:r w:rsidR="00610BA5">
              <w:t>,</w:t>
            </w:r>
            <w:r w:rsidRPr="00C1296C" w:rsidDel="00C1296C">
              <w:t xml:space="preserve"> </w:t>
            </w:r>
            <w:r w:rsidR="00ED4ACB">
              <w:t xml:space="preserve"> </w:t>
            </w:r>
            <w:r w:rsidR="00610BA5">
              <w:t>as well as</w:t>
            </w:r>
            <w:r w:rsidR="00C171C3">
              <w:t xml:space="preserve"> abatements on the training contract.</w:t>
            </w:r>
          </w:p>
        </w:tc>
      </w:tr>
    </w:tbl>
    <w:p w:rsidR="00AD70EE" w:rsidRDefault="00AD70EE" w:rsidP="00AA2403">
      <w:pPr>
        <w:pStyle w:val="NumbList"/>
      </w:pPr>
    </w:p>
    <w:p w:rsidR="00416766" w:rsidRDefault="00EC18B4" w:rsidP="001156F0">
      <w:pPr>
        <w:pStyle w:val="NumbList"/>
        <w:numPr>
          <w:ilvl w:val="0"/>
          <w:numId w:val="72"/>
        </w:numPr>
        <w:ind w:left="426" w:hanging="426"/>
      </w:pPr>
      <w:r>
        <w:t>The revenue outturn</w:t>
      </w:r>
      <w:r w:rsidR="004C6754">
        <w:t xml:space="preserve"> </w:t>
      </w:r>
      <w:r>
        <w:t>includes additional underspends of £</w:t>
      </w:r>
      <w:r w:rsidR="0069439B">
        <w:t>7,148</w:t>
      </w:r>
      <w:r>
        <w:t xml:space="preserve">k since </w:t>
      </w:r>
      <w:r w:rsidR="00416766">
        <w:t>the position reported at Quarter 3</w:t>
      </w:r>
      <w:r>
        <w:t xml:space="preserve"> (FEP</w:t>
      </w:r>
      <w:r w:rsidR="00AD70EE">
        <w:t>2709</w:t>
      </w:r>
      <w:r w:rsidRPr="006446F2">
        <w:t>).</w:t>
      </w:r>
      <w:r w:rsidR="00AD1447">
        <w:t xml:space="preserve"> </w:t>
      </w:r>
      <w:r>
        <w:t>These additional underspends are mainly due to:</w:t>
      </w:r>
    </w:p>
    <w:p w:rsidR="00B87EA9" w:rsidRDefault="00B87EA9" w:rsidP="003A6DCB">
      <w:pPr>
        <w:pStyle w:val="NumbList"/>
        <w:numPr>
          <w:ilvl w:val="0"/>
          <w:numId w:val="62"/>
        </w:numPr>
        <w:spacing w:after="0"/>
      </w:pPr>
      <w:r>
        <w:t xml:space="preserve">Operational staff salaries </w:t>
      </w:r>
      <w:r w:rsidR="00F25148">
        <w:t>(</w:t>
      </w:r>
      <w:r>
        <w:t>£1,094k</w:t>
      </w:r>
      <w:r w:rsidR="00F25148">
        <w:t>)</w:t>
      </w:r>
      <w:r w:rsidR="000109DC">
        <w:t xml:space="preserve"> which </w:t>
      </w:r>
      <w:r>
        <w:t>relates to previously reported recruitment challenges</w:t>
      </w:r>
      <w:r w:rsidR="00635B11">
        <w:t xml:space="preserve">, </w:t>
      </w:r>
      <w:r>
        <w:t>t</w:t>
      </w:r>
      <w:r w:rsidRPr="007C61C8">
        <w:t>his movement represents 0.3% o</w:t>
      </w:r>
      <w:r w:rsidR="00853F53">
        <w:t>f the operational staff budget</w:t>
      </w:r>
      <w:r w:rsidR="00A02C53">
        <w:t>. Th</w:t>
      </w:r>
      <w:r w:rsidR="00610BA5">
        <w:t xml:space="preserve">e overall </w:t>
      </w:r>
      <w:r w:rsidR="00635B11">
        <w:t xml:space="preserve">underspend </w:t>
      </w:r>
      <w:r w:rsidR="00492DF3">
        <w:t>equate</w:t>
      </w:r>
      <w:r w:rsidR="00A02C53">
        <w:t>s</w:t>
      </w:r>
      <w:r w:rsidR="00492DF3" w:rsidRPr="007C61C8">
        <w:t xml:space="preserve"> </w:t>
      </w:r>
      <w:r w:rsidRPr="007C61C8">
        <w:t xml:space="preserve">to an average of </w:t>
      </w:r>
      <w:r w:rsidRPr="00BA52AA">
        <w:t>19</w:t>
      </w:r>
      <w:r>
        <w:t>6</w:t>
      </w:r>
      <w:r w:rsidRPr="007C61C8">
        <w:t xml:space="preserve"> vacancies in 2017/18.</w:t>
      </w:r>
    </w:p>
    <w:p w:rsidR="00416766" w:rsidRDefault="00416766" w:rsidP="003A6DCB">
      <w:pPr>
        <w:pStyle w:val="NumbList"/>
        <w:numPr>
          <w:ilvl w:val="0"/>
          <w:numId w:val="62"/>
        </w:numPr>
        <w:spacing w:after="0"/>
      </w:pPr>
      <w:r>
        <w:t xml:space="preserve">FRS staff salaries (£918k) </w:t>
      </w:r>
      <w:r w:rsidRPr="00571F63">
        <w:t>because recruitment to a number of key roles has taken longer than anticipated</w:t>
      </w:r>
      <w:r w:rsidR="00853F53">
        <w:t>.</w:t>
      </w:r>
    </w:p>
    <w:p w:rsidR="00E12C67" w:rsidRDefault="00E12C67" w:rsidP="005D62D1">
      <w:pPr>
        <w:pStyle w:val="NumbList"/>
        <w:numPr>
          <w:ilvl w:val="0"/>
          <w:numId w:val="62"/>
        </w:numPr>
        <w:spacing w:after="0"/>
      </w:pPr>
      <w:r>
        <w:t xml:space="preserve">Property </w:t>
      </w:r>
      <w:r w:rsidRPr="005A70B3">
        <w:t>rates</w:t>
      </w:r>
      <w:r w:rsidR="005D62D1">
        <w:t xml:space="preserve"> due to surplus funding of £1,095k, that could now be released following advice received </w:t>
      </w:r>
      <w:r w:rsidR="004C2654" w:rsidRPr="004C2654">
        <w:t>from the Estates Management Consultant</w:t>
      </w:r>
      <w:r w:rsidR="005D62D1">
        <w:t>.</w:t>
      </w:r>
      <w:r w:rsidR="004C2654" w:rsidRPr="004C2654">
        <w:t xml:space="preserve"> </w:t>
      </w:r>
    </w:p>
    <w:p w:rsidR="00C5336C" w:rsidRDefault="00C5336C" w:rsidP="00C5336C">
      <w:pPr>
        <w:pStyle w:val="NumbList"/>
        <w:numPr>
          <w:ilvl w:val="0"/>
          <w:numId w:val="62"/>
        </w:numPr>
        <w:spacing w:after="0"/>
      </w:pPr>
      <w:r>
        <w:t>Customer and Client Receipts (£1,405k)</w:t>
      </w:r>
      <w:r w:rsidRPr="00C5336C">
        <w:t xml:space="preserve"> due to the inclusion of £0.5m</w:t>
      </w:r>
      <w:r w:rsidR="00A979E7">
        <w:t xml:space="preserve"> income</w:t>
      </w:r>
      <w:r w:rsidRPr="00C5336C">
        <w:t xml:space="preserve"> for LIFE, cadets and borough led Community Safety initiatives</w:t>
      </w:r>
      <w:r w:rsidR="00A979E7">
        <w:t xml:space="preserve"> not utilised this year</w:t>
      </w:r>
      <w:r w:rsidRPr="00C5336C">
        <w:t>, which is to be transferred to the Fire Safety and Youth Engagement earmarked reserve</w:t>
      </w:r>
      <w:r w:rsidR="00610BA5">
        <w:t>,</w:t>
      </w:r>
      <w:r w:rsidRPr="00C5336C">
        <w:t xml:space="preserve"> and </w:t>
      </w:r>
      <w:r w:rsidR="00610BA5">
        <w:t xml:space="preserve">an </w:t>
      </w:r>
      <w:r w:rsidRPr="00C5336C">
        <w:t xml:space="preserve">£0.8m </w:t>
      </w:r>
      <w:r w:rsidR="00610BA5">
        <w:t xml:space="preserve">adjustment to </w:t>
      </w:r>
      <w:r w:rsidRPr="00C5336C">
        <w:t xml:space="preserve"> balances carried forward from previous years relating to telecommunications income, identified in 2017/18 </w:t>
      </w:r>
      <w:r w:rsidR="000C3ADD">
        <w:t xml:space="preserve">as part of the </w:t>
      </w:r>
      <w:r w:rsidRPr="00C5336C">
        <w:t xml:space="preserve">end of year reconciliation.  </w:t>
      </w:r>
    </w:p>
    <w:p w:rsidR="00416766" w:rsidRDefault="00416766">
      <w:pPr>
        <w:pStyle w:val="NumbList"/>
        <w:numPr>
          <w:ilvl w:val="0"/>
          <w:numId w:val="62"/>
        </w:numPr>
        <w:spacing w:after="0"/>
      </w:pPr>
      <w:r>
        <w:t>Professional development (£704k) due to a delay</w:t>
      </w:r>
      <w:r w:rsidR="00800747">
        <w:t xml:space="preserve"> in a number of projects</w:t>
      </w:r>
      <w:r>
        <w:t xml:space="preserve"> in</w:t>
      </w:r>
      <w:r w:rsidR="00800747">
        <w:t>cluding</w:t>
      </w:r>
      <w:r>
        <w:t xml:space="preserve"> a new</w:t>
      </w:r>
      <w:r w:rsidR="00492DF3">
        <w:t xml:space="preserve"> arrangement with Babcock </w:t>
      </w:r>
      <w:r>
        <w:t>for a Fire Safety course</w:t>
      </w:r>
      <w:r w:rsidR="009925F2">
        <w:t>,</w:t>
      </w:r>
      <w:r>
        <w:t xml:space="preserve"> no longer provided by the Fire Protection Association</w:t>
      </w:r>
      <w:r w:rsidR="00EF79AF">
        <w:t xml:space="preserve"> </w:t>
      </w:r>
      <w:r w:rsidR="009925F2">
        <w:t>(</w:t>
      </w:r>
      <w:r w:rsidR="00800747">
        <w:t>£592k</w:t>
      </w:r>
      <w:r w:rsidR="009925F2">
        <w:t>)</w:t>
      </w:r>
      <w:r w:rsidR="00800747">
        <w:t xml:space="preserve"> and abatements on the training contract </w:t>
      </w:r>
      <w:r w:rsidR="009925F2">
        <w:t>(</w:t>
      </w:r>
      <w:r w:rsidR="00800747">
        <w:t>£112k</w:t>
      </w:r>
      <w:r w:rsidR="009925F2">
        <w:t>)</w:t>
      </w:r>
      <w:r w:rsidR="00800747">
        <w:t>.</w:t>
      </w:r>
      <w:r>
        <w:t xml:space="preserve"> </w:t>
      </w:r>
    </w:p>
    <w:p w:rsidR="00C113C7" w:rsidRDefault="00E12C67" w:rsidP="003A6DCB">
      <w:pPr>
        <w:pStyle w:val="NumbList"/>
        <w:numPr>
          <w:ilvl w:val="0"/>
          <w:numId w:val="62"/>
        </w:numPr>
        <w:spacing w:after="0"/>
      </w:pPr>
      <w:r>
        <w:t>H</w:t>
      </w:r>
      <w:r w:rsidR="00C113C7" w:rsidRPr="007D78A0">
        <w:t xml:space="preserve">ardware and </w:t>
      </w:r>
      <w:r w:rsidR="00C113C7">
        <w:t>s</w:t>
      </w:r>
      <w:r w:rsidR="00C113C7" w:rsidRPr="007D78A0">
        <w:t>oftware</w:t>
      </w:r>
      <w:r w:rsidR="00C113C7">
        <w:t xml:space="preserve"> (£610k) due to delays </w:t>
      </w:r>
      <w:r w:rsidR="009925F2">
        <w:t>caused by</w:t>
      </w:r>
      <w:r w:rsidR="00C113C7">
        <w:t xml:space="preserve"> implementation</w:t>
      </w:r>
      <w:r w:rsidR="00800747">
        <w:t xml:space="preserve"> </w:t>
      </w:r>
      <w:r w:rsidR="00C113C7">
        <w:t xml:space="preserve">issues on </w:t>
      </w:r>
      <w:r w:rsidR="009925F2">
        <w:t xml:space="preserve">number of </w:t>
      </w:r>
      <w:r w:rsidR="00C113C7">
        <w:t>major projects including the mobile data terminals, Windows 10 and Farynor</w:t>
      </w:r>
      <w:r w:rsidR="00EF6ECA">
        <w:t xml:space="preserve">. </w:t>
      </w:r>
      <w:r w:rsidR="00800747" w:rsidRPr="00800747">
        <w:t>This underspend will be transferred into</w:t>
      </w:r>
      <w:r w:rsidR="00610BA5">
        <w:t xml:space="preserve"> the</w:t>
      </w:r>
      <w:r w:rsidR="00800747" w:rsidRPr="00800747">
        <w:t xml:space="preserve"> ICT Development earmarked reserve to cover planned spend in 2018/19.</w:t>
      </w:r>
    </w:p>
    <w:p w:rsidR="00C113C7" w:rsidRDefault="00C113C7" w:rsidP="00567BA1">
      <w:pPr>
        <w:pStyle w:val="NumbList"/>
        <w:numPr>
          <w:ilvl w:val="0"/>
          <w:numId w:val="62"/>
        </w:numPr>
        <w:spacing w:after="0"/>
      </w:pPr>
      <w:r>
        <w:t>Operational Equipment (£</w:t>
      </w:r>
      <w:r w:rsidR="003D65E5">
        <w:t>391</w:t>
      </w:r>
      <w:r>
        <w:t>k) mainly due to spend</w:t>
      </w:r>
      <w:r w:rsidR="00567BA1">
        <w:t xml:space="preserve"> on Firefighter new technology project </w:t>
      </w:r>
      <w:r>
        <w:t xml:space="preserve">that did not happen this year </w:t>
      </w:r>
      <w:r w:rsidR="00567BA1">
        <w:t>and also an</w:t>
      </w:r>
      <w:r w:rsidR="00567BA1" w:rsidRPr="00567BA1">
        <w:t xml:space="preserve"> underspend on the flood response budget</w:t>
      </w:r>
      <w:r w:rsidR="00B51AB7">
        <w:t>.</w:t>
      </w:r>
      <w:r w:rsidR="00567BA1" w:rsidRPr="00567BA1">
        <w:t xml:space="preserve"> </w:t>
      </w:r>
    </w:p>
    <w:p w:rsidR="00FB0DF5" w:rsidRDefault="009925F2" w:rsidP="003A6DCB">
      <w:pPr>
        <w:pStyle w:val="NumbList"/>
        <w:numPr>
          <w:ilvl w:val="0"/>
          <w:numId w:val="62"/>
        </w:numPr>
        <w:spacing w:after="0"/>
      </w:pPr>
      <w:r>
        <w:t>V</w:t>
      </w:r>
      <w:r w:rsidR="00FB0DF5">
        <w:t xml:space="preserve">ehicle and equipment contract </w:t>
      </w:r>
      <w:r w:rsidR="00F31199">
        <w:t xml:space="preserve">payments </w:t>
      </w:r>
      <w:r>
        <w:t>(</w:t>
      </w:r>
      <w:r w:rsidR="009F6C79">
        <w:t>£</w:t>
      </w:r>
      <w:r>
        <w:t xml:space="preserve">296k), </w:t>
      </w:r>
      <w:r w:rsidR="00FB0DF5">
        <w:t xml:space="preserve">due to abatements </w:t>
      </w:r>
      <w:r>
        <w:t>(</w:t>
      </w:r>
      <w:r w:rsidR="00FB0DF5">
        <w:t>£134</w:t>
      </w:r>
      <w:r w:rsidR="00A40758">
        <w:t>k</w:t>
      </w:r>
      <w:r>
        <w:t>)</w:t>
      </w:r>
      <w:r w:rsidR="00FB0DF5">
        <w:t xml:space="preserve"> and</w:t>
      </w:r>
      <w:r w:rsidR="00A40758">
        <w:t xml:space="preserve"> vehicle passthroughs</w:t>
      </w:r>
      <w:r w:rsidR="004C2654">
        <w:t xml:space="preserve"> </w:t>
      </w:r>
      <w:r>
        <w:t>(</w:t>
      </w:r>
      <w:r w:rsidR="00FB0DF5">
        <w:t>£162k</w:t>
      </w:r>
      <w:r>
        <w:t>)</w:t>
      </w:r>
      <w:r w:rsidR="00FB0DF5">
        <w:t xml:space="preserve"> due </w:t>
      </w:r>
      <w:r w:rsidR="00FB0DF5" w:rsidRPr="00E6131E">
        <w:t xml:space="preserve">to spend for the </w:t>
      </w:r>
      <w:r w:rsidR="00FB0DF5">
        <w:t>U</w:t>
      </w:r>
      <w:r w:rsidR="00FB0DF5" w:rsidRPr="00E6131E">
        <w:t xml:space="preserve">ltra </w:t>
      </w:r>
      <w:r w:rsidR="00FB0DF5">
        <w:t>L</w:t>
      </w:r>
      <w:r w:rsidR="00FB0DF5" w:rsidRPr="00E6131E">
        <w:t xml:space="preserve">ow </w:t>
      </w:r>
      <w:r w:rsidR="00FB0DF5">
        <w:t>E</w:t>
      </w:r>
      <w:r w:rsidR="00FB0DF5" w:rsidRPr="00E6131E">
        <w:t xml:space="preserve">mission </w:t>
      </w:r>
      <w:r w:rsidR="00FB0DF5">
        <w:t>Z</w:t>
      </w:r>
      <w:r w:rsidR="00FB0DF5" w:rsidRPr="00E6131E">
        <w:t>one</w:t>
      </w:r>
      <w:r w:rsidR="00FB0DF5">
        <w:t xml:space="preserve"> (</w:t>
      </w:r>
      <w:r>
        <w:t>U</w:t>
      </w:r>
      <w:r w:rsidR="00FB0DF5">
        <w:t>LEZ)</w:t>
      </w:r>
      <w:r w:rsidR="00FB0DF5" w:rsidRPr="00E6131E">
        <w:t xml:space="preserve"> that has been reallocated to the 2018/19 financial year</w:t>
      </w:r>
      <w:r w:rsidR="00FB0DF5">
        <w:t>.</w:t>
      </w:r>
    </w:p>
    <w:p w:rsidR="009A48E9" w:rsidRDefault="009A48E9" w:rsidP="00A40758">
      <w:pPr>
        <w:pStyle w:val="NumbList"/>
        <w:spacing w:after="0"/>
        <w:ind w:left="720"/>
      </w:pPr>
    </w:p>
    <w:p w:rsidR="005A70B3" w:rsidRDefault="00C171C3" w:rsidP="000E2E68">
      <w:pPr>
        <w:pStyle w:val="NumbList"/>
        <w:numPr>
          <w:ilvl w:val="0"/>
          <w:numId w:val="72"/>
        </w:numPr>
        <w:ind w:left="426" w:hanging="426"/>
      </w:pPr>
      <w:r>
        <w:t xml:space="preserve">The underspends summarised above are in addition to </w:t>
      </w:r>
      <w:r w:rsidR="005A70B3">
        <w:t xml:space="preserve">£4,730k </w:t>
      </w:r>
      <w:r w:rsidR="00635B11">
        <w:t xml:space="preserve">of underspends </w:t>
      </w:r>
      <w:r>
        <w:t>previously reported at the end of Quarter 3</w:t>
      </w:r>
      <w:r w:rsidR="005A70B3">
        <w:t>,</w:t>
      </w:r>
      <w:r>
        <w:t xml:space="preserve"> </w:t>
      </w:r>
      <w:r w:rsidR="00C40396">
        <w:t>which includes items</w:t>
      </w:r>
      <w:r w:rsidR="00742312" w:rsidRPr="00742312">
        <w:t xml:space="preserve"> </w:t>
      </w:r>
      <w:r w:rsidR="00742312">
        <w:t>identified as risks at the beginning of the financial year</w:t>
      </w:r>
      <w:r w:rsidR="00626E33">
        <w:t>.</w:t>
      </w:r>
    </w:p>
    <w:p w:rsidR="004A435D" w:rsidRDefault="00C171C3" w:rsidP="000E2E68">
      <w:pPr>
        <w:pStyle w:val="NumbList"/>
        <w:numPr>
          <w:ilvl w:val="0"/>
          <w:numId w:val="72"/>
        </w:numPr>
        <w:ind w:left="426" w:hanging="426"/>
      </w:pPr>
      <w:r>
        <w:t>The previously reported variances include significant underspending</w:t>
      </w:r>
      <w:r w:rsidR="004A435D">
        <w:t xml:space="preserve"> </w:t>
      </w:r>
      <w:r w:rsidR="00742312">
        <w:t>of</w:t>
      </w:r>
      <w:r w:rsidR="00F25148">
        <w:t xml:space="preserve"> </w:t>
      </w:r>
      <w:r w:rsidR="0059591F">
        <w:t>£4,160k</w:t>
      </w:r>
      <w:r w:rsidR="004A435D">
        <w:t xml:space="preserve"> on operational staff budgets based on the</w:t>
      </w:r>
      <w:r w:rsidR="00742312">
        <w:t xml:space="preserve"> then</w:t>
      </w:r>
      <w:r w:rsidR="004A435D">
        <w:t xml:space="preserve"> expected operational staff numbers</w:t>
      </w:r>
      <w:r w:rsidR="00635B11">
        <w:t>,</w:t>
      </w:r>
      <w:r w:rsidR="004A435D">
        <w:t xml:space="preserve"> given forecasts</w:t>
      </w:r>
      <w:r w:rsidR="005A70B3">
        <w:t xml:space="preserve"> for recruitment and leavers</w:t>
      </w:r>
      <w:r w:rsidR="00742312">
        <w:t>. Previous</w:t>
      </w:r>
      <w:r w:rsidR="009925F2">
        <w:t>ly reported</w:t>
      </w:r>
      <w:r w:rsidR="00742312">
        <w:t xml:space="preserve"> underspends also include</w:t>
      </w:r>
      <w:r w:rsidR="005A70B3">
        <w:t xml:space="preserve"> </w:t>
      </w:r>
      <w:r w:rsidR="004A435D">
        <w:t>a one-off budget of £830k that was created in 2017/18 to fund costs involved in offering inoculations to staff</w:t>
      </w:r>
      <w:r w:rsidR="009925F2">
        <w:t>,</w:t>
      </w:r>
      <w:r w:rsidR="004A435D">
        <w:t xml:space="preserve"> based on co-responding being rolled o</w:t>
      </w:r>
      <w:r w:rsidR="007929B2">
        <w:t>ut across the Brigade</w:t>
      </w:r>
      <w:r w:rsidR="00AD1447">
        <w:t xml:space="preserve"> - </w:t>
      </w:r>
      <w:r w:rsidR="009925F2">
        <w:t>which</w:t>
      </w:r>
      <w:r w:rsidR="007929B2">
        <w:t xml:space="preserve"> </w:t>
      </w:r>
      <w:r w:rsidR="00742312">
        <w:t xml:space="preserve">is </w:t>
      </w:r>
      <w:r w:rsidR="007929B2">
        <w:t xml:space="preserve">being </w:t>
      </w:r>
      <w:r w:rsidR="004A435D">
        <w:t xml:space="preserve">transferred to an earmarked reserve to cover the planned spend in </w:t>
      </w:r>
      <w:r w:rsidR="009F6C79">
        <w:t>future years</w:t>
      </w:r>
      <w:r w:rsidR="00742312">
        <w:t xml:space="preserve">. An underspend was also forecast of </w:t>
      </w:r>
      <w:r w:rsidR="00304486">
        <w:t>£2,017k</w:t>
      </w:r>
      <w:r w:rsidR="005A70B3" w:rsidRPr="005A70B3">
        <w:t xml:space="preserve"> </w:t>
      </w:r>
      <w:r w:rsidR="00304486">
        <w:t>on property rates due</w:t>
      </w:r>
      <w:r w:rsidR="005A70B3" w:rsidRPr="005A70B3">
        <w:t xml:space="preserve"> to the successful appeal that was lodged by the Estates Management </w:t>
      </w:r>
      <w:r w:rsidR="00766C1B">
        <w:t>C</w:t>
      </w:r>
      <w:r w:rsidR="005A70B3" w:rsidRPr="005A70B3">
        <w:t>onsultant for the 2010 valuations</w:t>
      </w:r>
      <w:r w:rsidR="00766C1B">
        <w:t xml:space="preserve"> - t</w:t>
      </w:r>
      <w:r w:rsidR="005A70B3" w:rsidRPr="005A70B3">
        <w:t xml:space="preserve">his had previously been included as a saving in 2018/19 but has now been achieved earlier than </w:t>
      </w:r>
      <w:r w:rsidR="0034484F">
        <w:t xml:space="preserve">originally </w:t>
      </w:r>
      <w:r w:rsidR="005A70B3" w:rsidRPr="005A70B3">
        <w:t>expected</w:t>
      </w:r>
      <w:r w:rsidR="006A4135">
        <w:t xml:space="preserve">. Also previously reported </w:t>
      </w:r>
      <w:r w:rsidR="006A4135" w:rsidRPr="0045504F">
        <w:t xml:space="preserve">was additional </w:t>
      </w:r>
      <w:r w:rsidR="000109DC" w:rsidRPr="0045504F">
        <w:t xml:space="preserve">Metropolitan Fire Brigade (MFB) </w:t>
      </w:r>
      <w:r w:rsidR="006A4135" w:rsidRPr="0045504F">
        <w:t>Act income (£790k) and underspends on hydrants maintenance (£181) based on lower repairs than budgeted.</w:t>
      </w:r>
    </w:p>
    <w:p w:rsidR="00D914CB" w:rsidRDefault="00B85FDE" w:rsidP="000E2E68">
      <w:pPr>
        <w:pStyle w:val="NumbList"/>
        <w:numPr>
          <w:ilvl w:val="0"/>
          <w:numId w:val="72"/>
        </w:numPr>
        <w:ind w:left="426" w:hanging="426"/>
      </w:pPr>
      <w:r>
        <w:t>As identified in previous reporting, t</w:t>
      </w:r>
      <w:r w:rsidR="00304486" w:rsidRPr="00304486">
        <w:t xml:space="preserve">he </w:t>
      </w:r>
      <w:r w:rsidR="00304486">
        <w:t>above underspends are offset by</w:t>
      </w:r>
      <w:r w:rsidR="00B90069">
        <w:t xml:space="preserve"> </w:t>
      </w:r>
      <w:r w:rsidR="00CE3851">
        <w:t>over</w:t>
      </w:r>
      <w:r w:rsidR="00B90069" w:rsidRPr="00B90069">
        <w:t>spend</w:t>
      </w:r>
      <w:r w:rsidR="00CE3851">
        <w:t>s</w:t>
      </w:r>
      <w:r w:rsidR="00B90069" w:rsidRPr="00B90069">
        <w:t xml:space="preserve"> on premises budgets (£1,</w:t>
      </w:r>
      <w:r w:rsidR="008F778F">
        <w:t>725</w:t>
      </w:r>
      <w:r w:rsidR="00B90069" w:rsidRPr="00B90069">
        <w:t xml:space="preserve">k) following the decision to progress a backlog of works aimed at </w:t>
      </w:r>
      <w:r>
        <w:t xml:space="preserve">improving the overall condition </w:t>
      </w:r>
      <w:r w:rsidR="00B90069" w:rsidRPr="00B90069">
        <w:t>of the whole estate including repairs, refurbishment and minor improvements to properties</w:t>
      </w:r>
      <w:r w:rsidR="00B90069">
        <w:t>;</w:t>
      </w:r>
      <w:r w:rsidRPr="00B85FDE">
        <w:t xml:space="preserve"> </w:t>
      </w:r>
      <w:r w:rsidRPr="006A4135">
        <w:t>and</w:t>
      </w:r>
      <w:r w:rsidR="00B90069" w:rsidRPr="006A4135">
        <w:t xml:space="preserve"> </w:t>
      </w:r>
      <w:r w:rsidR="00304486" w:rsidRPr="006A4135">
        <w:t xml:space="preserve">on compensation budgets </w:t>
      </w:r>
      <w:r w:rsidR="006A4135" w:rsidRPr="00D31DAF">
        <w:t xml:space="preserve">(£231k) </w:t>
      </w:r>
      <w:r w:rsidR="00304486" w:rsidRPr="006A4135">
        <w:t>due to a number of large value personal injury cases</w:t>
      </w:r>
      <w:r w:rsidRPr="006A4135">
        <w:t>.</w:t>
      </w:r>
    </w:p>
    <w:p w:rsidR="00CE3851" w:rsidRPr="000C540B" w:rsidRDefault="00CE3851" w:rsidP="000C540B">
      <w:pPr>
        <w:pStyle w:val="Heading"/>
        <w:rPr>
          <w:rFonts w:ascii="FoundrySansDemi" w:hAnsi="FoundrySansDemi"/>
        </w:rPr>
      </w:pPr>
      <w:r>
        <w:rPr>
          <w:rFonts w:ascii="FoundrySansDemi" w:hAnsi="FoundrySansDemi"/>
          <w:b w:val="0"/>
          <w:sz w:val="24"/>
        </w:rPr>
        <w:t>2018/19 Budget process</w:t>
      </w:r>
    </w:p>
    <w:p w:rsidR="00BA273C" w:rsidRDefault="00D914CB" w:rsidP="001156F0">
      <w:pPr>
        <w:pStyle w:val="NormalNoSpace"/>
        <w:numPr>
          <w:ilvl w:val="0"/>
          <w:numId w:val="72"/>
        </w:numPr>
        <w:ind w:left="426" w:hanging="426"/>
      </w:pPr>
      <w:r>
        <w:t>As part of the 2018/19</w:t>
      </w:r>
      <w:r w:rsidR="00CE3851">
        <w:t xml:space="preserve"> Budget </w:t>
      </w:r>
      <w:r w:rsidR="00BA273C" w:rsidRPr="00313AEC">
        <w:t>process, a review of previous years underspends was carried out to identify und</w:t>
      </w:r>
      <w:r w:rsidR="00BA273C" w:rsidRPr="00AE2C58">
        <w:t>erspending areas in 201</w:t>
      </w:r>
      <w:r w:rsidR="00BA273C">
        <w:t>7/18</w:t>
      </w:r>
      <w:r w:rsidR="00BA273C" w:rsidRPr="00AE2C58">
        <w:t xml:space="preserve"> that could be taken as a saving in 201</w:t>
      </w:r>
      <w:r w:rsidR="00BA273C">
        <w:t>8/19. This led to savings of £</w:t>
      </w:r>
      <w:r w:rsidR="00B5482E">
        <w:t>2.6</w:t>
      </w:r>
      <w:r w:rsidR="00BA273C" w:rsidRPr="00AE2C58">
        <w:t>m</w:t>
      </w:r>
      <w:r w:rsidR="00BA273C" w:rsidRPr="00313AEC">
        <w:t xml:space="preserve">, with other changes reported through adjustments to the </w:t>
      </w:r>
      <w:r w:rsidR="00686CBD">
        <w:t>M</w:t>
      </w:r>
      <w:r w:rsidR="00BA273C" w:rsidRPr="00313AEC">
        <w:t xml:space="preserve">edium </w:t>
      </w:r>
      <w:r w:rsidR="00686CBD">
        <w:t>T</w:t>
      </w:r>
      <w:r w:rsidR="00BA273C" w:rsidRPr="00313AEC">
        <w:t>e</w:t>
      </w:r>
      <w:r w:rsidR="003F3CD0">
        <w:t>rm (</w:t>
      </w:r>
      <w:r w:rsidR="00686CBD">
        <w:t xml:space="preserve">MT) </w:t>
      </w:r>
      <w:r w:rsidR="00BA273C" w:rsidRPr="00313AEC">
        <w:t>of</w:t>
      </w:r>
      <w:r w:rsidR="00BA273C">
        <w:t xml:space="preserve"> £</w:t>
      </w:r>
      <w:r w:rsidR="00B5482E">
        <w:t>8.8</w:t>
      </w:r>
      <w:r w:rsidR="00BA273C" w:rsidRPr="00313AEC">
        <w:t>m.</w:t>
      </w:r>
      <w:r w:rsidR="00BA273C">
        <w:t xml:space="preserve"> Therefore, a</w:t>
      </w:r>
      <w:r w:rsidR="00BA273C" w:rsidRPr="00D95B72">
        <w:t>lthough there was an underspe</w:t>
      </w:r>
      <w:r w:rsidR="00BA273C">
        <w:t>nd totalling £</w:t>
      </w:r>
      <w:r w:rsidR="00AD1447">
        <w:t>11.</w:t>
      </w:r>
      <w:r w:rsidR="00FF3677">
        <w:t>9</w:t>
      </w:r>
      <w:r w:rsidR="00BA273C">
        <w:t xml:space="preserve">m in 2017/18, a sum </w:t>
      </w:r>
      <w:r w:rsidR="000C540B">
        <w:t xml:space="preserve">of £11.4m </w:t>
      </w:r>
      <w:r w:rsidR="00BA273C" w:rsidRPr="00D95B72">
        <w:t>has been removed from the 201</w:t>
      </w:r>
      <w:r w:rsidR="00BA273C">
        <w:t>8/19</w:t>
      </w:r>
      <w:r w:rsidR="00BA273C" w:rsidRPr="00D95B72">
        <w:t xml:space="preserve"> budget. Key areas of underspend which have already been reflected in the 201</w:t>
      </w:r>
      <w:r w:rsidR="00BA273C">
        <w:t>8/19</w:t>
      </w:r>
      <w:r w:rsidR="00BA273C" w:rsidRPr="00D95B72">
        <w:t xml:space="preserve"> budget include:</w:t>
      </w:r>
    </w:p>
    <w:p w:rsidR="00BA273C" w:rsidRPr="00D95B72" w:rsidRDefault="00BA273C" w:rsidP="00BA273C">
      <w:pPr>
        <w:pStyle w:val="ListParagraph"/>
      </w:pPr>
    </w:p>
    <w:p w:rsidR="00BA273C" w:rsidRDefault="00BA273C" w:rsidP="00BA273C">
      <w:pPr>
        <w:pStyle w:val="ListParagraph"/>
        <w:numPr>
          <w:ilvl w:val="0"/>
          <w:numId w:val="64"/>
        </w:numPr>
        <w:spacing w:after="0"/>
      </w:pPr>
      <w:r w:rsidRPr="00D95B72">
        <w:t xml:space="preserve">Operational staff </w:t>
      </w:r>
      <w:r w:rsidR="00B5482E">
        <w:t>costs</w:t>
      </w:r>
      <w:r w:rsidR="00CE3851">
        <w:t xml:space="preserve"> (</w:t>
      </w:r>
      <w:r w:rsidRPr="00D95B72">
        <w:t xml:space="preserve">underspent by </w:t>
      </w:r>
      <w:r w:rsidR="00B5482E">
        <w:t>£5.3m</w:t>
      </w:r>
      <w:r w:rsidR="006D56BA">
        <w:t xml:space="preserve">) - </w:t>
      </w:r>
      <w:r w:rsidR="00592B85">
        <w:t>a</w:t>
      </w:r>
      <w:r w:rsidR="00B5482E">
        <w:t xml:space="preserve"> one-off saving of £3.6m has </w:t>
      </w:r>
      <w:r w:rsidR="002A3DEE">
        <w:t>been added to the existing £1.6m vacancy margin for 2018/19</w:t>
      </w:r>
      <w:r w:rsidR="00FF3677">
        <w:t xml:space="preserve">. </w:t>
      </w:r>
      <w:r w:rsidR="002A3DEE">
        <w:t>This was agreed based on expected operational staff numbers given recruitment and leaver forecasts in 2018/19.</w:t>
      </w:r>
    </w:p>
    <w:p w:rsidR="002A3DEE" w:rsidRDefault="002A3DEE" w:rsidP="00BA273C">
      <w:pPr>
        <w:pStyle w:val="ListParagraph"/>
        <w:numPr>
          <w:ilvl w:val="0"/>
          <w:numId w:val="64"/>
        </w:numPr>
        <w:spacing w:after="0"/>
      </w:pPr>
      <w:r>
        <w:t>MFB Act income</w:t>
      </w:r>
      <w:r w:rsidR="00C73317">
        <w:t xml:space="preserve"> (over recovered by £0.8m) - </w:t>
      </w:r>
      <w:r>
        <w:t xml:space="preserve"> has been increased by £2.1m in total for 2018/19 to £27.7m, an increase of 8%.</w:t>
      </w:r>
      <w:r w:rsidR="00FF3677">
        <w:t xml:space="preserve"> </w:t>
      </w:r>
      <w:r>
        <w:t>Th</w:t>
      </w:r>
      <w:r w:rsidR="00C73317">
        <w:t xml:space="preserve">is </w:t>
      </w:r>
      <w:r>
        <w:t>reflects the 2017/18 outturn position and a 5% inflationary increase.</w:t>
      </w:r>
    </w:p>
    <w:p w:rsidR="00BA273C" w:rsidRDefault="005C3AE8" w:rsidP="0086624F">
      <w:pPr>
        <w:pStyle w:val="ListParagraph"/>
        <w:numPr>
          <w:ilvl w:val="0"/>
          <w:numId w:val="64"/>
        </w:numPr>
        <w:spacing w:after="0"/>
      </w:pPr>
      <w:r w:rsidRPr="005C3AE8">
        <w:t>Professional development (</w:t>
      </w:r>
      <w:r w:rsidR="00C301AD">
        <w:t xml:space="preserve">underspent </w:t>
      </w:r>
      <w:r w:rsidR="00635B11">
        <w:t xml:space="preserve">by </w:t>
      </w:r>
      <w:r w:rsidR="00C301AD">
        <w:t>£0.6</w:t>
      </w:r>
      <w:r>
        <w:t>m</w:t>
      </w:r>
      <w:r w:rsidRPr="005C3AE8">
        <w:t>) due to a delay in a number of projects</w:t>
      </w:r>
      <w:r>
        <w:t xml:space="preserve"> </w:t>
      </w:r>
      <w:r w:rsidRPr="005C3AE8">
        <w:t>and abatements on the training contract</w:t>
      </w:r>
      <w:r w:rsidR="00FF3677">
        <w:t xml:space="preserve">. </w:t>
      </w:r>
      <w:r>
        <w:t>The MT</w:t>
      </w:r>
      <w:r w:rsidR="00686CBD">
        <w:t>F</w:t>
      </w:r>
      <w:r>
        <w:t xml:space="preserve"> saving reflects the </w:t>
      </w:r>
      <w:r w:rsidRPr="005C3AE8">
        <w:t>fixed fee element of the Training Contract</w:t>
      </w:r>
      <w:r>
        <w:t xml:space="preserve"> that</w:t>
      </w:r>
      <w:r w:rsidRPr="005C3AE8">
        <w:t xml:space="preserve"> </w:t>
      </w:r>
      <w:r w:rsidR="00B96109">
        <w:t>is</w:t>
      </w:r>
      <w:r w:rsidR="00B96109" w:rsidRPr="005C3AE8">
        <w:t xml:space="preserve"> </w:t>
      </w:r>
      <w:r w:rsidRPr="005C3AE8">
        <w:t>reduc</w:t>
      </w:r>
      <w:r w:rsidR="00B96109">
        <w:t>ing</w:t>
      </w:r>
      <w:r w:rsidRPr="005C3AE8">
        <w:t xml:space="preserve"> after the first six years of the contract.</w:t>
      </w:r>
    </w:p>
    <w:p w:rsidR="000C3ADD" w:rsidRDefault="000C3ADD">
      <w:pPr>
        <w:spacing w:after="0" w:line="240" w:lineRule="auto"/>
      </w:pPr>
      <w:r>
        <w:br w:type="page"/>
      </w:r>
    </w:p>
    <w:p w:rsidR="003D7436" w:rsidRDefault="003D7436" w:rsidP="00114123">
      <w:pPr>
        <w:pStyle w:val="ListParagraph"/>
        <w:spacing w:after="0"/>
        <w:ind w:left="1440"/>
      </w:pPr>
    </w:p>
    <w:p w:rsidR="00D914CB" w:rsidRPr="00F441B8" w:rsidRDefault="00BA273C" w:rsidP="001156F0">
      <w:pPr>
        <w:pStyle w:val="NumbList"/>
        <w:numPr>
          <w:ilvl w:val="0"/>
          <w:numId w:val="72"/>
        </w:numPr>
        <w:ind w:left="426" w:hanging="426"/>
      </w:pPr>
      <w:r>
        <w:t>The savings and other adjustments, totalling £</w:t>
      </w:r>
      <w:r w:rsidR="00C73317">
        <w:t>11.4</w:t>
      </w:r>
      <w:r>
        <w:t>m, are summarised in Table 1 below</w:t>
      </w:r>
    </w:p>
    <w:p w:rsidR="008F25D4" w:rsidRPr="00CE12FE" w:rsidRDefault="00C46611">
      <w:pPr>
        <w:spacing w:after="0" w:line="240" w:lineRule="auto"/>
        <w:rPr>
          <w:b/>
        </w:rPr>
      </w:pPr>
      <w:r w:rsidRPr="00CE12FE">
        <w:rPr>
          <w:b/>
        </w:rPr>
        <w:t xml:space="preserve">Table 1: </w:t>
      </w:r>
      <w:r w:rsidRPr="00CE12FE">
        <w:rPr>
          <w:b/>
          <w:bCs/>
        </w:rPr>
        <w:t>Underspends Incorporated in the 2018/19 Budget</w:t>
      </w:r>
    </w:p>
    <w:p w:rsidR="00B5482E" w:rsidRDefault="00B5482E">
      <w:pPr>
        <w:spacing w:after="0" w:line="240" w:lineRule="auto"/>
      </w:pPr>
    </w:p>
    <w:tbl>
      <w:tblPr>
        <w:tblW w:w="9302" w:type="dxa"/>
        <w:tblInd w:w="93" w:type="dxa"/>
        <w:tblLook w:val="04A0" w:firstRow="1" w:lastRow="0" w:firstColumn="1" w:lastColumn="0" w:noHBand="0" w:noVBand="1"/>
      </w:tblPr>
      <w:tblGrid>
        <w:gridCol w:w="3061"/>
        <w:gridCol w:w="1360"/>
        <w:gridCol w:w="1360"/>
        <w:gridCol w:w="960"/>
        <w:gridCol w:w="1281"/>
        <w:gridCol w:w="1280"/>
      </w:tblGrid>
      <w:tr w:rsidR="00EF45AA" w:rsidRPr="00B5482E" w:rsidTr="00CE12FE">
        <w:trPr>
          <w:tblHeader/>
        </w:trPr>
        <w:tc>
          <w:tcPr>
            <w:tcW w:w="3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F45AA" w:rsidRPr="00B5482E" w:rsidRDefault="00EF45AA" w:rsidP="00CE12FE">
            <w:pPr>
              <w:spacing w:before="40" w:after="40" w:line="240" w:lineRule="auto"/>
              <w:rPr>
                <w:b/>
                <w:bCs/>
                <w:sz w:val="20"/>
                <w:szCs w:val="20"/>
              </w:rPr>
            </w:pPr>
            <w:r w:rsidRPr="00B5482E">
              <w:rPr>
                <w:b/>
                <w:bCs/>
                <w:sz w:val="20"/>
                <w:szCs w:val="20"/>
              </w:rPr>
              <w:t> </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hideMark/>
          </w:tcPr>
          <w:p w:rsidR="00EF45AA" w:rsidRPr="00B5482E" w:rsidRDefault="00EF45AA" w:rsidP="00CE12FE">
            <w:pPr>
              <w:spacing w:before="40" w:after="40" w:line="240" w:lineRule="auto"/>
              <w:jc w:val="center"/>
              <w:rPr>
                <w:b/>
                <w:bCs/>
                <w:sz w:val="20"/>
                <w:szCs w:val="20"/>
              </w:rPr>
            </w:pPr>
            <w:r w:rsidRPr="00B5482E">
              <w:rPr>
                <w:b/>
                <w:bCs/>
                <w:sz w:val="20"/>
                <w:szCs w:val="20"/>
              </w:rPr>
              <w:t>Revised Budget</w:t>
            </w:r>
          </w:p>
        </w:tc>
        <w:tc>
          <w:tcPr>
            <w:tcW w:w="2320" w:type="dxa"/>
            <w:gridSpan w:val="2"/>
            <w:tcBorders>
              <w:top w:val="single" w:sz="4" w:space="0" w:color="auto"/>
              <w:left w:val="nil"/>
              <w:bottom w:val="single" w:sz="4" w:space="0" w:color="auto"/>
              <w:right w:val="single" w:sz="4" w:space="0" w:color="000000"/>
            </w:tcBorders>
            <w:shd w:val="clear" w:color="auto" w:fill="D9D9D9" w:themeFill="background1" w:themeFillShade="D9"/>
            <w:hideMark/>
          </w:tcPr>
          <w:p w:rsidR="00EF45AA" w:rsidRPr="00B5482E" w:rsidRDefault="0029791E">
            <w:pPr>
              <w:spacing w:before="40" w:after="40" w:line="240" w:lineRule="auto"/>
              <w:jc w:val="center"/>
              <w:rPr>
                <w:b/>
                <w:bCs/>
                <w:sz w:val="20"/>
                <w:szCs w:val="20"/>
              </w:rPr>
            </w:pPr>
            <w:r>
              <w:rPr>
                <w:b/>
                <w:bCs/>
                <w:sz w:val="20"/>
                <w:szCs w:val="20"/>
              </w:rPr>
              <w:t>Provisional</w:t>
            </w:r>
            <w:r w:rsidR="008A1CCA">
              <w:rPr>
                <w:b/>
                <w:bCs/>
                <w:sz w:val="20"/>
                <w:szCs w:val="20"/>
              </w:rPr>
              <w:t xml:space="preserve"> O</w:t>
            </w:r>
            <w:r w:rsidR="00EF45AA" w:rsidRPr="00B5482E">
              <w:rPr>
                <w:b/>
                <w:bCs/>
                <w:sz w:val="20"/>
                <w:szCs w:val="20"/>
              </w:rPr>
              <w:t>utturn Variance</w:t>
            </w: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F45AA" w:rsidRPr="00B5482E" w:rsidRDefault="00EF45AA" w:rsidP="00CE12FE">
            <w:pPr>
              <w:spacing w:before="40" w:after="40" w:line="240" w:lineRule="auto"/>
              <w:jc w:val="center"/>
              <w:rPr>
                <w:b/>
                <w:bCs/>
                <w:sz w:val="20"/>
                <w:szCs w:val="20"/>
              </w:rPr>
            </w:pPr>
            <w:r w:rsidRPr="00B5482E">
              <w:rPr>
                <w:b/>
                <w:bCs/>
                <w:sz w:val="20"/>
                <w:szCs w:val="20"/>
              </w:rPr>
              <w:t>2018/19 Savings</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hideMark/>
          </w:tcPr>
          <w:p w:rsidR="00EF45AA" w:rsidRPr="00B5482E" w:rsidRDefault="00EF45AA" w:rsidP="00CE12FE">
            <w:pPr>
              <w:spacing w:before="40" w:after="40" w:line="240" w:lineRule="auto"/>
              <w:jc w:val="center"/>
              <w:rPr>
                <w:b/>
                <w:bCs/>
                <w:sz w:val="20"/>
                <w:szCs w:val="20"/>
              </w:rPr>
            </w:pPr>
            <w:r w:rsidRPr="00B5482E">
              <w:rPr>
                <w:b/>
                <w:bCs/>
                <w:sz w:val="20"/>
                <w:szCs w:val="20"/>
              </w:rPr>
              <w:t>MT Savings</w:t>
            </w:r>
          </w:p>
        </w:tc>
      </w:tr>
      <w:tr w:rsidR="00EF45AA" w:rsidRPr="00B5482E" w:rsidTr="00CE12FE">
        <w:trPr>
          <w:tblHeader/>
        </w:trPr>
        <w:tc>
          <w:tcPr>
            <w:tcW w:w="3061" w:type="dxa"/>
            <w:tcBorders>
              <w:top w:val="nil"/>
              <w:left w:val="single" w:sz="4" w:space="0" w:color="auto"/>
              <w:bottom w:val="single" w:sz="4" w:space="0" w:color="auto"/>
              <w:right w:val="single" w:sz="4" w:space="0" w:color="auto"/>
            </w:tcBorders>
            <w:shd w:val="clear" w:color="auto" w:fill="auto"/>
            <w:vAlign w:val="bottom"/>
            <w:hideMark/>
          </w:tcPr>
          <w:p w:rsidR="00EF45AA" w:rsidRPr="00B5482E" w:rsidRDefault="00EF45AA" w:rsidP="00CE12FE">
            <w:pPr>
              <w:spacing w:before="40" w:after="40" w:line="240" w:lineRule="auto"/>
              <w:rPr>
                <w:b/>
                <w:bCs/>
                <w:sz w:val="20"/>
                <w:szCs w:val="20"/>
              </w:rPr>
            </w:pPr>
            <w:r w:rsidRPr="00B5482E">
              <w:rPr>
                <w:b/>
                <w:bCs/>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EF45AA" w:rsidRPr="00B5482E" w:rsidRDefault="00EF45AA" w:rsidP="00CE12FE">
            <w:pPr>
              <w:spacing w:before="40" w:after="40" w:line="240" w:lineRule="auto"/>
              <w:jc w:val="center"/>
              <w:rPr>
                <w:b/>
                <w:bCs/>
                <w:sz w:val="20"/>
                <w:szCs w:val="20"/>
              </w:rPr>
            </w:pPr>
            <w:r w:rsidRPr="00B5482E">
              <w:rPr>
                <w:b/>
                <w:bCs/>
                <w:sz w:val="20"/>
                <w:szCs w:val="20"/>
              </w:rPr>
              <w:t>£</w:t>
            </w:r>
            <w:r>
              <w:rPr>
                <w:b/>
                <w:bCs/>
                <w:sz w:val="20"/>
                <w:szCs w:val="20"/>
              </w:rPr>
              <w:t>k</w:t>
            </w:r>
          </w:p>
        </w:tc>
        <w:tc>
          <w:tcPr>
            <w:tcW w:w="1360" w:type="dxa"/>
            <w:tcBorders>
              <w:top w:val="nil"/>
              <w:left w:val="nil"/>
              <w:bottom w:val="single" w:sz="4" w:space="0" w:color="auto"/>
              <w:right w:val="single" w:sz="4" w:space="0" w:color="auto"/>
            </w:tcBorders>
            <w:shd w:val="clear" w:color="auto" w:fill="auto"/>
            <w:vAlign w:val="bottom"/>
            <w:hideMark/>
          </w:tcPr>
          <w:p w:rsidR="00EF45AA" w:rsidRPr="00B5482E" w:rsidRDefault="00EF45AA" w:rsidP="00CE12FE">
            <w:pPr>
              <w:spacing w:before="40" w:after="40" w:line="240" w:lineRule="auto"/>
              <w:jc w:val="center"/>
              <w:rPr>
                <w:b/>
                <w:bCs/>
                <w:sz w:val="20"/>
                <w:szCs w:val="20"/>
              </w:rPr>
            </w:pPr>
            <w:r w:rsidRPr="00B5482E">
              <w:rPr>
                <w:b/>
                <w:bCs/>
                <w:sz w:val="20"/>
                <w:szCs w:val="20"/>
              </w:rPr>
              <w:t>£</w:t>
            </w:r>
            <w:r>
              <w:rPr>
                <w:b/>
                <w:bCs/>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EF45AA" w:rsidRPr="00B5482E" w:rsidRDefault="00EF45AA" w:rsidP="00CE12FE">
            <w:pPr>
              <w:spacing w:before="40" w:after="40" w:line="240" w:lineRule="auto"/>
              <w:jc w:val="center"/>
              <w:rPr>
                <w:b/>
                <w:bCs/>
                <w:sz w:val="20"/>
                <w:szCs w:val="20"/>
              </w:rPr>
            </w:pPr>
            <w:r w:rsidRPr="00B5482E">
              <w:rPr>
                <w:b/>
                <w:bCs/>
                <w:sz w:val="20"/>
                <w:szCs w:val="20"/>
              </w:rPr>
              <w:t>%</w:t>
            </w:r>
          </w:p>
        </w:tc>
        <w:tc>
          <w:tcPr>
            <w:tcW w:w="1281" w:type="dxa"/>
            <w:tcBorders>
              <w:top w:val="nil"/>
              <w:left w:val="single" w:sz="4" w:space="0" w:color="auto"/>
              <w:bottom w:val="single" w:sz="4" w:space="0" w:color="auto"/>
              <w:right w:val="single" w:sz="4" w:space="0" w:color="auto"/>
            </w:tcBorders>
            <w:shd w:val="clear" w:color="auto" w:fill="auto"/>
            <w:vAlign w:val="bottom"/>
            <w:hideMark/>
          </w:tcPr>
          <w:p w:rsidR="00EF45AA" w:rsidRPr="00B5482E" w:rsidRDefault="00EF45AA" w:rsidP="00CE12FE">
            <w:pPr>
              <w:spacing w:before="40" w:after="40" w:line="240" w:lineRule="auto"/>
              <w:jc w:val="center"/>
              <w:rPr>
                <w:b/>
                <w:bCs/>
                <w:sz w:val="20"/>
                <w:szCs w:val="20"/>
              </w:rPr>
            </w:pPr>
            <w:r w:rsidRPr="00B5482E">
              <w:rPr>
                <w:b/>
                <w:bCs/>
                <w:sz w:val="20"/>
                <w:szCs w:val="20"/>
              </w:rPr>
              <w:t>£</w:t>
            </w:r>
            <w:r>
              <w:rPr>
                <w:b/>
                <w:bCs/>
                <w:sz w:val="20"/>
                <w:szCs w:val="20"/>
              </w:rPr>
              <w:t>k</w:t>
            </w:r>
          </w:p>
        </w:tc>
        <w:tc>
          <w:tcPr>
            <w:tcW w:w="1280" w:type="dxa"/>
            <w:tcBorders>
              <w:top w:val="nil"/>
              <w:left w:val="nil"/>
              <w:bottom w:val="single" w:sz="4" w:space="0" w:color="auto"/>
              <w:right w:val="single" w:sz="4" w:space="0" w:color="auto"/>
            </w:tcBorders>
            <w:shd w:val="clear" w:color="auto" w:fill="auto"/>
            <w:vAlign w:val="bottom"/>
            <w:hideMark/>
          </w:tcPr>
          <w:p w:rsidR="00EF45AA" w:rsidRPr="00B5482E" w:rsidRDefault="00EF45AA" w:rsidP="00CE12FE">
            <w:pPr>
              <w:spacing w:before="40" w:after="40" w:line="240" w:lineRule="auto"/>
              <w:jc w:val="center"/>
              <w:rPr>
                <w:b/>
                <w:bCs/>
                <w:sz w:val="20"/>
                <w:szCs w:val="20"/>
              </w:rPr>
            </w:pPr>
            <w:r w:rsidRPr="00B5482E">
              <w:rPr>
                <w:b/>
                <w:bCs/>
                <w:sz w:val="20"/>
                <w:szCs w:val="20"/>
              </w:rPr>
              <w:t>£</w:t>
            </w:r>
            <w:r>
              <w:rPr>
                <w:b/>
                <w:bCs/>
                <w:sz w:val="20"/>
                <w:szCs w:val="20"/>
              </w:rPr>
              <w:t>k</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Operational Staff</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234,889</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(5,255)</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(2.2%)</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(60)</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(3,565)</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FRS Staff</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47,431</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(1,428)</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(3.0%)</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(317)</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Professional Development</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21,989</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(595)</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(2.7%)</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(3,280)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Recruitment</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267</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(24)</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(8.9%)</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(24)</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Medical and Welfare Expenses</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2,713</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(913)</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(33.7%)</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(89)</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0C3831">
        <w:tc>
          <w:tcPr>
            <w:tcW w:w="3061" w:type="dxa"/>
            <w:tcBorders>
              <w:top w:val="nil"/>
              <w:left w:val="single" w:sz="4" w:space="0" w:color="auto"/>
              <w:bottom w:val="single" w:sz="4" w:space="0" w:color="auto"/>
              <w:right w:val="single" w:sz="4" w:space="0" w:color="auto"/>
            </w:tcBorders>
            <w:shd w:val="clear" w:color="auto" w:fill="auto"/>
            <w:noWrap/>
            <w:vAlign w:val="center"/>
          </w:tcPr>
          <w:p w:rsidR="00337FA0" w:rsidRPr="00B5482E" w:rsidRDefault="00337FA0" w:rsidP="00333A3F">
            <w:pPr>
              <w:spacing w:before="40" w:after="40" w:line="240" w:lineRule="auto"/>
              <w:rPr>
                <w:sz w:val="20"/>
                <w:szCs w:val="20"/>
              </w:rPr>
            </w:pPr>
            <w:r>
              <w:rPr>
                <w:sz w:val="20"/>
                <w:szCs w:val="20"/>
              </w:rPr>
              <w:t>Firefighter Pension Scheme</w:t>
            </w:r>
          </w:p>
        </w:tc>
        <w:tc>
          <w:tcPr>
            <w:tcW w:w="1360" w:type="dxa"/>
            <w:tcBorders>
              <w:top w:val="nil"/>
              <w:left w:val="nil"/>
              <w:bottom w:val="single" w:sz="4" w:space="0" w:color="auto"/>
              <w:right w:val="single" w:sz="4" w:space="0" w:color="auto"/>
            </w:tcBorders>
            <w:shd w:val="clear" w:color="auto" w:fill="auto"/>
            <w:noWrap/>
            <w:vAlign w:val="center"/>
          </w:tcPr>
          <w:p w:rsidR="00337FA0" w:rsidRDefault="00337FA0" w:rsidP="00333A3F">
            <w:pPr>
              <w:spacing w:before="40" w:after="40" w:line="240" w:lineRule="auto"/>
              <w:jc w:val="right"/>
              <w:rPr>
                <w:sz w:val="20"/>
                <w:szCs w:val="20"/>
              </w:rPr>
            </w:pPr>
            <w:r>
              <w:rPr>
                <w:sz w:val="20"/>
                <w:szCs w:val="20"/>
              </w:rPr>
              <w:t>20,489</w:t>
            </w:r>
          </w:p>
        </w:tc>
        <w:tc>
          <w:tcPr>
            <w:tcW w:w="1360" w:type="dxa"/>
            <w:tcBorders>
              <w:top w:val="nil"/>
              <w:left w:val="nil"/>
              <w:bottom w:val="single" w:sz="4" w:space="0" w:color="auto"/>
              <w:right w:val="single" w:sz="4" w:space="0" w:color="auto"/>
            </w:tcBorders>
            <w:shd w:val="clear" w:color="auto" w:fill="auto"/>
            <w:noWrap/>
            <w:vAlign w:val="center"/>
          </w:tcPr>
          <w:p w:rsidR="00337FA0" w:rsidRDefault="00337FA0" w:rsidP="00333A3F">
            <w:pPr>
              <w:spacing w:before="40" w:after="40" w:line="240" w:lineRule="auto"/>
              <w:jc w:val="right"/>
              <w:rPr>
                <w:sz w:val="20"/>
                <w:szCs w:val="20"/>
              </w:rPr>
            </w:pPr>
            <w:r>
              <w:rPr>
                <w:sz w:val="20"/>
                <w:szCs w:val="20"/>
              </w:rPr>
              <w:t>(144)</w:t>
            </w:r>
          </w:p>
        </w:tc>
        <w:tc>
          <w:tcPr>
            <w:tcW w:w="960" w:type="dxa"/>
            <w:tcBorders>
              <w:top w:val="nil"/>
              <w:left w:val="nil"/>
              <w:bottom w:val="single" w:sz="4" w:space="0" w:color="auto"/>
              <w:right w:val="single" w:sz="4" w:space="0" w:color="auto"/>
            </w:tcBorders>
            <w:shd w:val="clear" w:color="auto" w:fill="auto"/>
            <w:noWrap/>
            <w:vAlign w:val="center"/>
          </w:tcPr>
          <w:p w:rsidR="00337FA0" w:rsidRDefault="00337FA0" w:rsidP="00333A3F">
            <w:pPr>
              <w:spacing w:before="40" w:after="40" w:line="240" w:lineRule="auto"/>
              <w:jc w:val="right"/>
              <w:rPr>
                <w:sz w:val="20"/>
                <w:szCs w:val="20"/>
              </w:rPr>
            </w:pPr>
            <w:r>
              <w:rPr>
                <w:sz w:val="20"/>
                <w:szCs w:val="20"/>
              </w:rPr>
              <w:t>(0.7%)</w:t>
            </w:r>
          </w:p>
        </w:tc>
        <w:tc>
          <w:tcPr>
            <w:tcW w:w="1281" w:type="dxa"/>
            <w:tcBorders>
              <w:top w:val="nil"/>
              <w:left w:val="single" w:sz="4" w:space="0" w:color="auto"/>
              <w:bottom w:val="single" w:sz="4" w:space="0" w:color="auto"/>
              <w:right w:val="single" w:sz="4" w:space="0" w:color="auto"/>
            </w:tcBorders>
            <w:shd w:val="clear" w:color="auto" w:fill="auto"/>
            <w:noWrap/>
            <w:vAlign w:val="center"/>
          </w:tcPr>
          <w:p w:rsidR="00337FA0" w:rsidRDefault="00337FA0" w:rsidP="00333A3F">
            <w:pPr>
              <w:spacing w:before="40" w:after="40" w:line="240" w:lineRule="auto"/>
              <w:jc w:val="right"/>
              <w:rPr>
                <w:sz w:val="20"/>
                <w:szCs w:val="20"/>
              </w:rPr>
            </w:pPr>
            <w:r>
              <w:rPr>
                <w:sz w:val="20"/>
                <w:szCs w:val="20"/>
              </w:rPr>
              <w:t>0</w:t>
            </w:r>
          </w:p>
        </w:tc>
        <w:tc>
          <w:tcPr>
            <w:tcW w:w="1280" w:type="dxa"/>
            <w:tcBorders>
              <w:top w:val="nil"/>
              <w:left w:val="nil"/>
              <w:bottom w:val="single" w:sz="4" w:space="0" w:color="auto"/>
              <w:right w:val="single" w:sz="4" w:space="0" w:color="auto"/>
            </w:tcBorders>
            <w:shd w:val="clear" w:color="auto" w:fill="auto"/>
            <w:noWrap/>
            <w:vAlign w:val="center"/>
          </w:tcPr>
          <w:p w:rsidR="00337FA0" w:rsidRDefault="00337FA0" w:rsidP="00333A3F">
            <w:pPr>
              <w:spacing w:before="40" w:after="40" w:line="240" w:lineRule="auto"/>
              <w:jc w:val="right"/>
              <w:rPr>
                <w:sz w:val="20"/>
                <w:szCs w:val="20"/>
              </w:rPr>
            </w:pPr>
            <w:r>
              <w:rPr>
                <w:sz w:val="20"/>
                <w:szCs w:val="20"/>
              </w:rPr>
              <w:t>(44)</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Energy Costs</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2,031</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158</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7.8%</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(48)</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Property Rates</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9,166</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(3,112)</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(34.0%)</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(232)</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Vehicle and Equipment Contract</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10,784</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(225)</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(2.1%)</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(40)</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Vehicle Passthroughs</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605</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(314)</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(51.8%)</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(26)</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Contract Hire &amp; Operating Leases</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1,229</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(95)</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(7.7%)</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(21)</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Hydrants</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581</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(201)</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(34.5%)</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(75)</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Operational Equipment</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1,731</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(14)</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(0.8%)</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(31)</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Equipment Furniture and Materials</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279</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73</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26.3%</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(4)</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Clothing &amp; Laundry</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2,802</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24</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0.9%</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(159)</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General Office Expenses</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731</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(106)</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(14.5%)</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(5)</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Professional Services</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8,909</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(287)</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(3.2%)</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(78)</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Communications</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3,801</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382</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10.0%</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(43)</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Hardware and Software</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6,564</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(630)</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(9.6%)</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(160)</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Staff Reimbursements</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316</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30</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9.6%</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(74)</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Other Supplies and Services</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57</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26</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46.2%</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(12)</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Other Local Authorities</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1,624</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407</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25.1%</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(201)</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0C3831">
        <w:tc>
          <w:tcPr>
            <w:tcW w:w="3061" w:type="dxa"/>
            <w:tcBorders>
              <w:top w:val="nil"/>
              <w:left w:val="single" w:sz="4" w:space="0" w:color="auto"/>
              <w:bottom w:val="single" w:sz="4" w:space="0" w:color="auto"/>
              <w:right w:val="single" w:sz="4" w:space="0" w:color="auto"/>
            </w:tcBorders>
            <w:shd w:val="clear" w:color="auto" w:fill="auto"/>
            <w:noWrap/>
            <w:vAlign w:val="center"/>
          </w:tcPr>
          <w:p w:rsidR="00337FA0" w:rsidRPr="00B5482E" w:rsidRDefault="00337FA0" w:rsidP="00333A3F">
            <w:pPr>
              <w:spacing w:before="40" w:after="40" w:line="240" w:lineRule="auto"/>
              <w:rPr>
                <w:sz w:val="20"/>
                <w:szCs w:val="20"/>
              </w:rPr>
            </w:pPr>
            <w:r>
              <w:rPr>
                <w:sz w:val="20"/>
                <w:szCs w:val="20"/>
              </w:rPr>
              <w:t>Central Contingency</w:t>
            </w:r>
          </w:p>
        </w:tc>
        <w:tc>
          <w:tcPr>
            <w:tcW w:w="1360" w:type="dxa"/>
            <w:tcBorders>
              <w:top w:val="nil"/>
              <w:left w:val="nil"/>
              <w:bottom w:val="single" w:sz="4" w:space="0" w:color="auto"/>
              <w:right w:val="single" w:sz="4" w:space="0" w:color="auto"/>
            </w:tcBorders>
            <w:shd w:val="clear" w:color="auto" w:fill="auto"/>
            <w:noWrap/>
            <w:vAlign w:val="center"/>
          </w:tcPr>
          <w:p w:rsidR="00337FA0" w:rsidRDefault="00337FA0" w:rsidP="00333A3F">
            <w:pPr>
              <w:spacing w:before="40" w:after="40" w:line="240" w:lineRule="auto"/>
              <w:jc w:val="right"/>
              <w:rPr>
                <w:sz w:val="20"/>
                <w:szCs w:val="20"/>
              </w:rPr>
            </w:pPr>
            <w:r>
              <w:rPr>
                <w:sz w:val="20"/>
                <w:szCs w:val="20"/>
              </w:rPr>
              <w:t>24</w:t>
            </w:r>
          </w:p>
        </w:tc>
        <w:tc>
          <w:tcPr>
            <w:tcW w:w="1360" w:type="dxa"/>
            <w:tcBorders>
              <w:top w:val="nil"/>
              <w:left w:val="nil"/>
              <w:bottom w:val="single" w:sz="4" w:space="0" w:color="auto"/>
              <w:right w:val="single" w:sz="4" w:space="0" w:color="auto"/>
            </w:tcBorders>
            <w:shd w:val="clear" w:color="auto" w:fill="auto"/>
            <w:noWrap/>
            <w:vAlign w:val="center"/>
          </w:tcPr>
          <w:p w:rsidR="00337FA0" w:rsidRDefault="00337FA0" w:rsidP="00333A3F">
            <w:pPr>
              <w:spacing w:before="40" w:after="40" w:line="240" w:lineRule="auto"/>
              <w:jc w:val="right"/>
              <w:rPr>
                <w:sz w:val="20"/>
                <w:szCs w:val="20"/>
              </w:rPr>
            </w:pPr>
            <w:r>
              <w:rPr>
                <w:sz w:val="20"/>
                <w:szCs w:val="20"/>
              </w:rPr>
              <w:t>(24)</w:t>
            </w:r>
          </w:p>
        </w:tc>
        <w:tc>
          <w:tcPr>
            <w:tcW w:w="960" w:type="dxa"/>
            <w:tcBorders>
              <w:top w:val="nil"/>
              <w:left w:val="nil"/>
              <w:bottom w:val="single" w:sz="4" w:space="0" w:color="auto"/>
              <w:right w:val="single" w:sz="4" w:space="0" w:color="auto"/>
            </w:tcBorders>
            <w:shd w:val="clear" w:color="auto" w:fill="auto"/>
            <w:noWrap/>
            <w:vAlign w:val="center"/>
          </w:tcPr>
          <w:p w:rsidR="00337FA0" w:rsidRDefault="00337FA0" w:rsidP="00333A3F">
            <w:pPr>
              <w:spacing w:before="40" w:after="40" w:line="240" w:lineRule="auto"/>
              <w:jc w:val="right"/>
              <w:rPr>
                <w:sz w:val="20"/>
                <w:szCs w:val="20"/>
              </w:rPr>
            </w:pPr>
            <w:r>
              <w:rPr>
                <w:sz w:val="20"/>
                <w:szCs w:val="20"/>
              </w:rPr>
              <w:t>(100.0%)</w:t>
            </w:r>
          </w:p>
        </w:tc>
        <w:tc>
          <w:tcPr>
            <w:tcW w:w="1281" w:type="dxa"/>
            <w:tcBorders>
              <w:top w:val="nil"/>
              <w:left w:val="single" w:sz="4" w:space="0" w:color="auto"/>
              <w:bottom w:val="single" w:sz="4" w:space="0" w:color="auto"/>
              <w:right w:val="single" w:sz="4" w:space="0" w:color="auto"/>
            </w:tcBorders>
            <w:shd w:val="clear" w:color="auto" w:fill="auto"/>
            <w:noWrap/>
            <w:vAlign w:val="center"/>
          </w:tcPr>
          <w:p w:rsidR="00337FA0" w:rsidRDefault="00337FA0" w:rsidP="00333A3F">
            <w:pPr>
              <w:spacing w:before="40" w:after="40" w:line="240" w:lineRule="auto"/>
              <w:jc w:val="right"/>
              <w:rPr>
                <w:sz w:val="20"/>
                <w:szCs w:val="20"/>
              </w:rPr>
            </w:pPr>
            <w:r>
              <w:rPr>
                <w:sz w:val="20"/>
                <w:szCs w:val="20"/>
              </w:rPr>
              <w:t>(85)</w:t>
            </w:r>
          </w:p>
        </w:tc>
        <w:tc>
          <w:tcPr>
            <w:tcW w:w="1280" w:type="dxa"/>
            <w:tcBorders>
              <w:top w:val="nil"/>
              <w:left w:val="nil"/>
              <w:bottom w:val="single" w:sz="4" w:space="0" w:color="auto"/>
              <w:right w:val="single" w:sz="4" w:space="0" w:color="auto"/>
            </w:tcBorders>
            <w:shd w:val="clear" w:color="auto" w:fill="auto"/>
            <w:noWrap/>
            <w:vAlign w:val="center"/>
          </w:tcPr>
          <w:p w:rsidR="00337FA0" w:rsidRDefault="00337FA0" w:rsidP="00333A3F">
            <w:pPr>
              <w:spacing w:before="40" w:after="40" w:line="240" w:lineRule="auto"/>
              <w:jc w:val="right"/>
              <w:rPr>
                <w:sz w:val="20"/>
                <w:szCs w:val="20"/>
              </w:rPr>
            </w:pPr>
            <w:r>
              <w:rPr>
                <w:sz w:val="20"/>
                <w:szCs w:val="20"/>
              </w:rPr>
              <w:t>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MFB Act Income</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(25,595)</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(816)</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3.2%</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(390)</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(1,710)</w:t>
            </w:r>
          </w:p>
        </w:tc>
      </w:tr>
      <w:tr w:rsidR="00337FA0" w:rsidRPr="00B5482E" w:rsidTr="00CE12FE">
        <w:tc>
          <w:tcPr>
            <w:tcW w:w="306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rPr>
                <w:sz w:val="20"/>
                <w:szCs w:val="20"/>
              </w:rPr>
            </w:pPr>
            <w:r>
              <w:rPr>
                <w:sz w:val="20"/>
                <w:szCs w:val="20"/>
              </w:rPr>
              <w:t>Customer and Client Receipts</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(9,923)</w:t>
            </w:r>
          </w:p>
        </w:tc>
        <w:tc>
          <w:tcPr>
            <w:tcW w:w="13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(1,405)</w:t>
            </w:r>
          </w:p>
        </w:tc>
        <w:tc>
          <w:tcPr>
            <w:tcW w:w="96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14.2%</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(658)</w:t>
            </w:r>
          </w:p>
        </w:tc>
        <w:tc>
          <w:tcPr>
            <w:tcW w:w="1280" w:type="dxa"/>
            <w:tcBorders>
              <w:top w:val="nil"/>
              <w:left w:val="nil"/>
              <w:bottom w:val="single" w:sz="4" w:space="0" w:color="auto"/>
              <w:right w:val="single" w:sz="4" w:space="0" w:color="auto"/>
            </w:tcBorders>
            <w:shd w:val="clear" w:color="auto" w:fill="auto"/>
            <w:noWrap/>
            <w:vAlign w:val="center"/>
            <w:hideMark/>
          </w:tcPr>
          <w:p w:rsidR="00337FA0" w:rsidRPr="00B5482E" w:rsidRDefault="00337FA0" w:rsidP="00CE12FE">
            <w:pPr>
              <w:spacing w:before="40" w:after="40" w:line="240" w:lineRule="auto"/>
              <w:jc w:val="right"/>
              <w:rPr>
                <w:sz w:val="20"/>
                <w:szCs w:val="20"/>
              </w:rPr>
            </w:pPr>
            <w:r>
              <w:rPr>
                <w:sz w:val="20"/>
                <w:szCs w:val="20"/>
              </w:rPr>
              <w:t>0</w:t>
            </w:r>
          </w:p>
        </w:tc>
      </w:tr>
      <w:tr w:rsidR="00337FA0" w:rsidRPr="00B5482E" w:rsidTr="00CE12FE">
        <w:tc>
          <w:tcPr>
            <w:tcW w:w="6741" w:type="dxa"/>
            <w:gridSpan w:val="4"/>
            <w:tcBorders>
              <w:top w:val="nil"/>
              <w:left w:val="single" w:sz="4" w:space="0" w:color="auto"/>
              <w:bottom w:val="single" w:sz="4" w:space="0" w:color="auto"/>
              <w:right w:val="single" w:sz="4" w:space="0" w:color="auto"/>
            </w:tcBorders>
            <w:shd w:val="clear" w:color="000000" w:fill="C0C0C0"/>
            <w:noWrap/>
            <w:vAlign w:val="center"/>
            <w:hideMark/>
          </w:tcPr>
          <w:p w:rsidR="00337FA0" w:rsidRPr="00B5482E" w:rsidRDefault="00337FA0" w:rsidP="00CE12FE">
            <w:pPr>
              <w:spacing w:before="40" w:after="40" w:line="240" w:lineRule="auto"/>
              <w:rPr>
                <w:b/>
                <w:bCs/>
                <w:sz w:val="20"/>
                <w:szCs w:val="20"/>
              </w:rPr>
            </w:pPr>
            <w:r>
              <w:rPr>
                <w:b/>
                <w:bCs/>
                <w:sz w:val="20"/>
                <w:szCs w:val="20"/>
              </w:rPr>
              <w:t>Underspends Incorporated in the 2018/19 Budget</w:t>
            </w:r>
          </w:p>
        </w:tc>
        <w:tc>
          <w:tcPr>
            <w:tcW w:w="1281" w:type="dxa"/>
            <w:tcBorders>
              <w:top w:val="nil"/>
              <w:left w:val="single" w:sz="4" w:space="0" w:color="auto"/>
              <w:bottom w:val="single" w:sz="4" w:space="0" w:color="auto"/>
              <w:right w:val="single" w:sz="4" w:space="0" w:color="auto"/>
            </w:tcBorders>
            <w:shd w:val="clear" w:color="000000" w:fill="C0C0C0"/>
            <w:noWrap/>
            <w:vAlign w:val="center"/>
            <w:hideMark/>
          </w:tcPr>
          <w:p w:rsidR="00337FA0" w:rsidRPr="00B5482E" w:rsidRDefault="00337FA0" w:rsidP="00CE12FE">
            <w:pPr>
              <w:spacing w:before="40" w:after="40" w:line="240" w:lineRule="auto"/>
              <w:jc w:val="right"/>
              <w:rPr>
                <w:b/>
                <w:bCs/>
                <w:sz w:val="20"/>
                <w:szCs w:val="20"/>
              </w:rPr>
            </w:pPr>
            <w:r w:rsidRPr="00B5482E">
              <w:rPr>
                <w:b/>
                <w:bCs/>
                <w:color w:val="000000"/>
                <w:sz w:val="20"/>
                <w:szCs w:val="20"/>
              </w:rPr>
              <w:t>(2,597)</w:t>
            </w:r>
          </w:p>
        </w:tc>
        <w:tc>
          <w:tcPr>
            <w:tcW w:w="1280" w:type="dxa"/>
            <w:tcBorders>
              <w:top w:val="nil"/>
              <w:left w:val="nil"/>
              <w:bottom w:val="single" w:sz="4" w:space="0" w:color="auto"/>
              <w:right w:val="single" w:sz="4" w:space="0" w:color="auto"/>
            </w:tcBorders>
            <w:shd w:val="clear" w:color="000000" w:fill="C0C0C0"/>
            <w:noWrap/>
            <w:vAlign w:val="center"/>
            <w:hideMark/>
          </w:tcPr>
          <w:p w:rsidR="00337FA0" w:rsidRPr="00B5482E" w:rsidRDefault="00337FA0" w:rsidP="00CE12FE">
            <w:pPr>
              <w:spacing w:before="40" w:after="40" w:line="240" w:lineRule="auto"/>
              <w:jc w:val="right"/>
              <w:rPr>
                <w:b/>
                <w:bCs/>
                <w:sz w:val="20"/>
                <w:szCs w:val="20"/>
              </w:rPr>
            </w:pPr>
            <w:r w:rsidRPr="00B5482E">
              <w:rPr>
                <w:b/>
                <w:bCs/>
                <w:color w:val="000000"/>
                <w:sz w:val="20"/>
                <w:szCs w:val="20"/>
              </w:rPr>
              <w:t>(8,831)</w:t>
            </w:r>
          </w:p>
        </w:tc>
      </w:tr>
    </w:tbl>
    <w:p w:rsidR="00B5482E" w:rsidRDefault="00B5482E">
      <w:pPr>
        <w:spacing w:after="0" w:line="240" w:lineRule="auto"/>
      </w:pPr>
    </w:p>
    <w:p w:rsidR="006231FC" w:rsidRDefault="006231FC" w:rsidP="004E7515">
      <w:pPr>
        <w:pStyle w:val="NumbList"/>
        <w:numPr>
          <w:ilvl w:val="0"/>
          <w:numId w:val="72"/>
        </w:numPr>
        <w:ind w:left="426" w:hanging="426"/>
      </w:pPr>
      <w:r>
        <w:t xml:space="preserve">The key variances that have led to the overall underspend are explained in more detail from paragraph </w:t>
      </w:r>
      <w:r w:rsidR="00586CDE">
        <w:t>1</w:t>
      </w:r>
      <w:r w:rsidR="0081690E">
        <w:t>7</w:t>
      </w:r>
      <w:r>
        <w:t xml:space="preserve"> below.</w:t>
      </w:r>
    </w:p>
    <w:p w:rsidR="006231FC" w:rsidRDefault="006231FC" w:rsidP="00CE12FE">
      <w:pPr>
        <w:pStyle w:val="Heading"/>
        <w:rPr>
          <w:rFonts w:ascii="FoundrySansDemi" w:hAnsi="FoundrySansDemi"/>
        </w:rPr>
      </w:pPr>
      <w:r w:rsidRPr="00CE12FE">
        <w:rPr>
          <w:rFonts w:ascii="FoundrySansDemi" w:hAnsi="FoundrySansDemi"/>
          <w:b w:val="0"/>
          <w:sz w:val="24"/>
        </w:rPr>
        <w:t>Capital</w:t>
      </w:r>
      <w:r>
        <w:rPr>
          <w:rFonts w:ascii="FoundrySansDemi" w:hAnsi="FoundrySansDemi"/>
          <w:b w:val="0"/>
          <w:sz w:val="24"/>
        </w:rPr>
        <w:t xml:space="preserve"> Summary</w:t>
      </w:r>
    </w:p>
    <w:p w:rsidR="007218CA" w:rsidRDefault="00C21B69" w:rsidP="00FA6C91">
      <w:pPr>
        <w:pStyle w:val="NumbList"/>
        <w:numPr>
          <w:ilvl w:val="0"/>
          <w:numId w:val="72"/>
        </w:numPr>
        <w:ind w:left="426" w:hanging="426"/>
      </w:pPr>
      <w:r>
        <w:t xml:space="preserve">The provisional </w:t>
      </w:r>
      <w:r w:rsidR="007218CA" w:rsidRPr="007218CA">
        <w:t xml:space="preserve">outturn position for 2017/18 on the </w:t>
      </w:r>
      <w:r w:rsidR="007218CA">
        <w:t>capital</w:t>
      </w:r>
      <w:r w:rsidR="007218CA" w:rsidRPr="007218CA">
        <w:t xml:space="preserve"> </w:t>
      </w:r>
      <w:r w:rsidR="00844D54">
        <w:t>programme</w:t>
      </w:r>
      <w:r w:rsidR="00927AB1">
        <w:t>,</w:t>
      </w:r>
      <w:r w:rsidR="007218CA">
        <w:t xml:space="preserve"> before the </w:t>
      </w:r>
      <w:r w:rsidR="00592B85">
        <w:t>year end application of the</w:t>
      </w:r>
      <w:r w:rsidR="00844D54">
        <w:t xml:space="preserve"> </w:t>
      </w:r>
      <w:r w:rsidR="007218CA">
        <w:t>allowance for over-programming</w:t>
      </w:r>
      <w:r w:rsidR="00927AB1">
        <w:t>,</w:t>
      </w:r>
      <w:r w:rsidR="007218CA">
        <w:t xml:space="preserve"> </w:t>
      </w:r>
      <w:r w:rsidR="007218CA" w:rsidRPr="007218CA">
        <w:t>is</w:t>
      </w:r>
      <w:r w:rsidR="00635B11">
        <w:t xml:space="preserve"> for</w:t>
      </w:r>
      <w:r w:rsidR="007218CA" w:rsidRPr="007218CA">
        <w:t xml:space="preserve"> an underspend of </w:t>
      </w:r>
      <w:r w:rsidR="00844D54">
        <w:t>£15,235k. This is an increase</w:t>
      </w:r>
      <w:r w:rsidR="00927AB1">
        <w:t xml:space="preserve"> of £6,433k </w:t>
      </w:r>
      <w:r w:rsidR="00FE2F50">
        <w:t xml:space="preserve">from </w:t>
      </w:r>
      <w:r w:rsidR="00844D54">
        <w:t xml:space="preserve">the </w:t>
      </w:r>
      <w:r w:rsidR="00927AB1">
        <w:t xml:space="preserve">underspend </w:t>
      </w:r>
      <w:r w:rsidR="00844D54">
        <w:t xml:space="preserve">position reported as at the end of </w:t>
      </w:r>
      <w:r w:rsidR="00603999">
        <w:t>Q</w:t>
      </w:r>
      <w:r w:rsidR="00844D54">
        <w:t xml:space="preserve">uarter 3 </w:t>
      </w:r>
      <w:r w:rsidR="00844D54" w:rsidRPr="00FA6C91">
        <w:t>(FEP2709)</w:t>
      </w:r>
      <w:r w:rsidR="0081690E">
        <w:t xml:space="preserve">. </w:t>
      </w:r>
      <w:r w:rsidR="00844D54">
        <w:t xml:space="preserve">This is due to </w:t>
      </w:r>
      <w:r w:rsidR="00844D54" w:rsidRPr="00844D54">
        <w:t xml:space="preserve">budget re-phasing to 2018/19 </w:t>
      </w:r>
      <w:r w:rsidR="00844D54">
        <w:t xml:space="preserve">of </w:t>
      </w:r>
      <w:r w:rsidR="00844D54" w:rsidRPr="00844D54">
        <w:t xml:space="preserve">£6,252k and </w:t>
      </w:r>
      <w:r w:rsidR="00927AB1">
        <w:t>b</w:t>
      </w:r>
      <w:r w:rsidR="00844D54" w:rsidRPr="00844D54">
        <w:t xml:space="preserve">udget </w:t>
      </w:r>
      <w:r w:rsidR="00927AB1">
        <w:t>s</w:t>
      </w:r>
      <w:r w:rsidR="00844D54" w:rsidRPr="00844D54">
        <w:t>avings of £506k</w:t>
      </w:r>
      <w:r w:rsidR="00844D54">
        <w:t>, offset by £325k for new budget requirements.</w:t>
      </w:r>
    </w:p>
    <w:p w:rsidR="007B40C9" w:rsidRDefault="00902339" w:rsidP="00FA6C91">
      <w:pPr>
        <w:pStyle w:val="NumbList"/>
        <w:numPr>
          <w:ilvl w:val="0"/>
          <w:numId w:val="72"/>
        </w:numPr>
        <w:ind w:left="426" w:hanging="426"/>
      </w:pPr>
      <w:r>
        <w:t xml:space="preserve">The remaining over-programming allowance in 2017/18 of £7,106k has also now been applied </w:t>
      </w:r>
      <w:r w:rsidR="00592B85">
        <w:t>at year</w:t>
      </w:r>
      <w:r w:rsidR="00586CDE">
        <w:t xml:space="preserve"> end</w:t>
      </w:r>
      <w:r>
        <w:t>, which has reduced the overall budget and reduced the outturn variance to an underspend of £8,129k.</w:t>
      </w:r>
      <w:r w:rsidR="00927AB1">
        <w:t xml:space="preserve"> After accounting for this</w:t>
      </w:r>
      <w:r w:rsidR="004F15B3">
        <w:t>,</w:t>
      </w:r>
      <w:r w:rsidR="00927AB1">
        <w:t xml:space="preserve"> the total movement in the outturn variance</w:t>
      </w:r>
      <w:r w:rsidR="004F15B3">
        <w:t xml:space="preserve"> </w:t>
      </w:r>
      <w:r w:rsidR="00592B85">
        <w:t>when compared to the Q</w:t>
      </w:r>
      <w:r w:rsidR="006D56BA">
        <w:t xml:space="preserve">uarter </w:t>
      </w:r>
      <w:r w:rsidR="00592B85">
        <w:t>3 position,</w:t>
      </w:r>
      <w:r w:rsidR="00927AB1">
        <w:t xml:space="preserve"> is for a small increase in spend of £673k.</w:t>
      </w:r>
    </w:p>
    <w:p w:rsidR="006231FC" w:rsidRPr="0043741C" w:rsidRDefault="00902339" w:rsidP="000E2E68">
      <w:pPr>
        <w:pStyle w:val="NumbList"/>
        <w:numPr>
          <w:ilvl w:val="0"/>
          <w:numId w:val="72"/>
        </w:numPr>
        <w:ind w:left="426" w:hanging="426"/>
      </w:pPr>
      <w:r>
        <w:t xml:space="preserve">Over-programming </w:t>
      </w:r>
      <w:r w:rsidR="00592B85">
        <w:t xml:space="preserve">was introduced into </w:t>
      </w:r>
      <w:r>
        <w:t xml:space="preserve">the </w:t>
      </w:r>
      <w:r w:rsidR="00592B85">
        <w:t xml:space="preserve">capital </w:t>
      </w:r>
      <w:r>
        <w:t xml:space="preserve">budget </w:t>
      </w:r>
      <w:r w:rsidR="00592B85">
        <w:t xml:space="preserve">in 2017/18 </w:t>
      </w:r>
      <w:r w:rsidR="0094699F">
        <w:t>to help</w:t>
      </w:r>
      <w:r w:rsidR="00220F1C">
        <w:t xml:space="preserve"> </w:t>
      </w:r>
      <w:r w:rsidR="0094699F">
        <w:t>manag</w:t>
      </w:r>
      <w:r w:rsidR="00220F1C">
        <w:t>e</w:t>
      </w:r>
      <w:r w:rsidR="0094699F">
        <w:t xml:space="preserve"> the overall capital programme – whilst individual projects are budgeted to expected timescales, with no delays expected, once </w:t>
      </w:r>
      <w:r w:rsidR="00D8635D">
        <w:t xml:space="preserve">this is </w:t>
      </w:r>
      <w:r w:rsidR="0094699F">
        <w:t>consolidated a</w:t>
      </w:r>
      <w:r w:rsidR="00D43E6B">
        <w:t>s</w:t>
      </w:r>
      <w:r w:rsidR="0094699F">
        <w:t xml:space="preserve"> a programme</w:t>
      </w:r>
      <w:r w:rsidR="00D43E6B">
        <w:t>,</w:t>
      </w:r>
      <w:r w:rsidR="0094699F">
        <w:t xml:space="preserve"> inevitably delays will be experienced. A</w:t>
      </w:r>
      <w:r w:rsidR="006231FC" w:rsidRPr="0043741C">
        <w:t xml:space="preserve"> number of the capital projects span multiple financial years, </w:t>
      </w:r>
      <w:r w:rsidR="0094699F">
        <w:t xml:space="preserve">with the budget profiled over those years, </w:t>
      </w:r>
      <w:r w:rsidR="006231FC" w:rsidRPr="0043741C">
        <w:t>and therefore underspending in a particular f</w:t>
      </w:r>
      <w:r w:rsidR="006231FC">
        <w:t xml:space="preserve">inancial </w:t>
      </w:r>
      <w:r w:rsidR="006231FC" w:rsidRPr="0043741C">
        <w:t xml:space="preserve">year </w:t>
      </w:r>
      <w:r w:rsidR="006231FC">
        <w:t xml:space="preserve">is different to </w:t>
      </w:r>
      <w:r w:rsidR="006231FC" w:rsidRPr="0043741C">
        <w:t xml:space="preserve">underspends on </w:t>
      </w:r>
      <w:r w:rsidR="006231FC">
        <w:t xml:space="preserve">annual </w:t>
      </w:r>
      <w:r w:rsidR="006231FC" w:rsidRPr="0043741C">
        <w:t xml:space="preserve">revenue budgets. </w:t>
      </w:r>
      <w:r w:rsidR="0094699F">
        <w:t xml:space="preserve">Therefore the over-programming has </w:t>
      </w:r>
      <w:r w:rsidR="009F6C79">
        <w:t>had a positive impact</w:t>
      </w:r>
      <w:r w:rsidR="0094699F">
        <w:t>, and has also helped in managing the</w:t>
      </w:r>
      <w:r w:rsidR="00927AB1">
        <w:t xml:space="preserve"> revenue borrowing implications</w:t>
      </w:r>
      <w:r w:rsidR="0094699F">
        <w:t xml:space="preserve"> of the capital programme</w:t>
      </w:r>
      <w:r w:rsidR="000A3AAB">
        <w:t>,</w:t>
      </w:r>
      <w:r w:rsidR="00927AB1">
        <w:t xml:space="preserve"> </w:t>
      </w:r>
      <w:r w:rsidR="000A3AAB">
        <w:t>with t</w:t>
      </w:r>
      <w:r w:rsidR="00927AB1">
        <w:t>he relatively small over</w:t>
      </w:r>
      <w:r w:rsidR="006D56BA">
        <w:t>all movement of £673k from the Q</w:t>
      </w:r>
      <w:r w:rsidR="00927AB1">
        <w:t>uarter 3 forecast to the outturn position.</w:t>
      </w:r>
    </w:p>
    <w:p w:rsidR="007B40C9" w:rsidRDefault="007B40C9" w:rsidP="00CE12FE">
      <w:pPr>
        <w:pStyle w:val="Heading"/>
        <w:rPr>
          <w:rFonts w:ascii="FoundrySansDemi" w:hAnsi="FoundrySansDemi"/>
          <w:b w:val="0"/>
          <w:sz w:val="28"/>
        </w:rPr>
      </w:pPr>
      <w:r w:rsidRPr="00CE12FE">
        <w:rPr>
          <w:rFonts w:ascii="FoundrySansDemi" w:hAnsi="FoundrySansDemi"/>
          <w:b w:val="0"/>
          <w:sz w:val="28"/>
        </w:rPr>
        <w:t>Reasons for the Revenue Position</w:t>
      </w:r>
    </w:p>
    <w:p w:rsidR="007B40C9" w:rsidRPr="00CE12FE" w:rsidRDefault="007B40C9" w:rsidP="00CE12FE">
      <w:pPr>
        <w:spacing w:after="0"/>
        <w:rPr>
          <w:b/>
        </w:rPr>
      </w:pPr>
    </w:p>
    <w:p w:rsidR="007B40C9" w:rsidRPr="007B40C9" w:rsidRDefault="007B40C9" w:rsidP="00CE12FE">
      <w:pPr>
        <w:pStyle w:val="Heading"/>
        <w:rPr>
          <w:rFonts w:ascii="FoundrySansDemi" w:hAnsi="FoundrySansDemi"/>
          <w:b w:val="0"/>
          <w:sz w:val="24"/>
        </w:rPr>
      </w:pPr>
      <w:r w:rsidRPr="00CE12FE">
        <w:rPr>
          <w:rFonts w:ascii="FoundrySansDemi" w:hAnsi="FoundrySansDemi"/>
          <w:b w:val="0"/>
          <w:sz w:val="24"/>
        </w:rPr>
        <w:t>Staff</w:t>
      </w:r>
    </w:p>
    <w:p w:rsidR="007B40C9" w:rsidRPr="006F4DA3" w:rsidRDefault="007B40C9" w:rsidP="001156F0">
      <w:pPr>
        <w:pStyle w:val="NumbList"/>
        <w:numPr>
          <w:ilvl w:val="0"/>
          <w:numId w:val="72"/>
        </w:numPr>
        <w:ind w:left="426" w:hanging="426"/>
      </w:pPr>
      <w:r w:rsidRPr="007F49A4">
        <w:t xml:space="preserve">The </w:t>
      </w:r>
      <w:r w:rsidR="00A54B69">
        <w:t>provisional</w:t>
      </w:r>
      <w:r w:rsidR="00A54B69" w:rsidRPr="007F49A4">
        <w:t xml:space="preserve"> </w:t>
      </w:r>
      <w:r w:rsidRPr="007F49A4">
        <w:t xml:space="preserve">outturn </w:t>
      </w:r>
      <w:r w:rsidR="009D3494">
        <w:t xml:space="preserve">for the </w:t>
      </w:r>
      <w:r w:rsidRPr="007F49A4">
        <w:t xml:space="preserve"> operational staff budget is for an underspend of £5,2</w:t>
      </w:r>
      <w:r>
        <w:t>55</w:t>
      </w:r>
      <w:r w:rsidRPr="007F49A4">
        <w:t>k</w:t>
      </w:r>
      <w:r w:rsidR="000A3AAB">
        <w:t>,</w:t>
      </w:r>
      <w:r w:rsidRPr="007F49A4">
        <w:t xml:space="preserve"> </w:t>
      </w:r>
      <w:r w:rsidR="00CE12FE">
        <w:t>an increase of £1,094k since last reported at the end of Quarter 3</w:t>
      </w:r>
      <w:r w:rsidR="00880FEE">
        <w:t xml:space="preserve">. </w:t>
      </w:r>
      <w:r w:rsidR="000A3AAB">
        <w:t>T</w:t>
      </w:r>
      <w:r w:rsidRPr="007F49A4">
        <w:t xml:space="preserve">his relates to previously reported recruitment challenges (£6.7m), offset by </w:t>
      </w:r>
      <w:r w:rsidR="00D15BB8">
        <w:t>a</w:t>
      </w:r>
      <w:r w:rsidRPr="007F49A4">
        <w:t xml:space="preserve"> 2% pay award from 01 July 2017 (£1.5m). </w:t>
      </w:r>
      <w:r w:rsidR="00D15BB8">
        <w:t xml:space="preserve">The underspend reflects an average of </w:t>
      </w:r>
      <w:r w:rsidR="00524C20" w:rsidRPr="000C540B">
        <w:t>196</w:t>
      </w:r>
      <w:r w:rsidR="00D15BB8">
        <w:t xml:space="preserve"> vacancies in 2017/18</w:t>
      </w:r>
      <w:r w:rsidR="00BF2409">
        <w:t xml:space="preserve">. </w:t>
      </w:r>
      <w:r w:rsidR="00D15BB8">
        <w:t>A one-off saving of £3.6m has been added to the existing £1.6m vacancy margin for 2018/19</w:t>
      </w:r>
      <w:r w:rsidR="00BF2409">
        <w:t xml:space="preserve">. </w:t>
      </w:r>
      <w:r w:rsidR="00D15BB8">
        <w:t>This was agreed based on expected operational staff numbers given recruitment and leaver forecasts in 2018/19.</w:t>
      </w:r>
      <w:r w:rsidR="00B87EA9">
        <w:t xml:space="preserve"> </w:t>
      </w:r>
    </w:p>
    <w:p w:rsidR="007B40C9" w:rsidRDefault="007B40C9" w:rsidP="001156F0">
      <w:pPr>
        <w:pStyle w:val="NumbList"/>
        <w:numPr>
          <w:ilvl w:val="0"/>
          <w:numId w:val="72"/>
        </w:numPr>
        <w:ind w:left="426" w:hanging="426"/>
      </w:pPr>
      <w:r w:rsidRPr="007C61C8">
        <w:t xml:space="preserve">FRS staff budgets </w:t>
      </w:r>
      <w:r w:rsidR="0082421D">
        <w:t>have</w:t>
      </w:r>
      <w:r w:rsidR="0082421D" w:rsidRPr="007C61C8">
        <w:t xml:space="preserve"> </w:t>
      </w:r>
      <w:r>
        <w:t>underspent</w:t>
      </w:r>
      <w:r w:rsidRPr="007C61C8">
        <w:t xml:space="preserve"> by £</w:t>
      </w:r>
      <w:r>
        <w:t>1,428</w:t>
      </w:r>
      <w:r w:rsidRPr="007C61C8">
        <w:t xml:space="preserve">k, </w:t>
      </w:r>
      <w:r>
        <w:t>3.0</w:t>
      </w:r>
      <w:r w:rsidRPr="007C61C8">
        <w:t>% of the total FRS staff budget</w:t>
      </w:r>
      <w:r w:rsidR="00BF2409">
        <w:t xml:space="preserve">. </w:t>
      </w:r>
      <w:r w:rsidRPr="007C61C8">
        <w:t>A</w:t>
      </w:r>
      <w:r w:rsidR="000A3AAB">
        <w:t>s a</w:t>
      </w:r>
      <w:r w:rsidRPr="007C61C8">
        <w:t xml:space="preserve">t the end of </w:t>
      </w:r>
      <w:r>
        <w:t>March</w:t>
      </w:r>
      <w:r w:rsidRPr="007C61C8">
        <w:t xml:space="preserve">, there </w:t>
      </w:r>
      <w:r w:rsidR="000A3AAB">
        <w:t>we</w:t>
      </w:r>
      <w:r w:rsidRPr="007C61C8">
        <w:t xml:space="preserve">re </w:t>
      </w:r>
      <w:r w:rsidRPr="00BA52AA">
        <w:t>114 vacancies and 74 agency</w:t>
      </w:r>
      <w:r w:rsidRPr="007C61C8">
        <w:t xml:space="preserve"> staff. The underspend is due to </w:t>
      </w:r>
      <w:r w:rsidR="0034484F">
        <w:t xml:space="preserve">the </w:t>
      </w:r>
      <w:r w:rsidRPr="007C61C8">
        <w:t>recruitment to a number of roles tak</w:t>
      </w:r>
      <w:r w:rsidR="000A3AAB">
        <w:t>ing</w:t>
      </w:r>
      <w:r w:rsidRPr="007C61C8">
        <w:t xml:space="preserve"> longer than anticipated</w:t>
      </w:r>
      <w:r w:rsidR="000A3AAB">
        <w:t xml:space="preserve"> – this includes work in departments to prepare for recruitment, and not simply the </w:t>
      </w:r>
      <w:r w:rsidR="009F6C79">
        <w:t xml:space="preserve">selection and appointment </w:t>
      </w:r>
      <w:r w:rsidR="000A3AAB">
        <w:t>process</w:t>
      </w:r>
      <w:r w:rsidRPr="007C61C8">
        <w:t>.</w:t>
      </w:r>
      <w:r w:rsidR="00DC3D98">
        <w:t xml:space="preserve"> </w:t>
      </w:r>
      <w:r w:rsidRPr="007C61C8">
        <w:t xml:space="preserve">The </w:t>
      </w:r>
      <w:r>
        <w:t>outturn</w:t>
      </w:r>
      <w:r w:rsidRPr="007C61C8">
        <w:t xml:space="preserve"> also includes the one-off impact (</w:t>
      </w:r>
      <w:r w:rsidRPr="00BA52AA">
        <w:t>£205k</w:t>
      </w:r>
      <w:r w:rsidRPr="007C61C8">
        <w:t>) for pay awards</w:t>
      </w:r>
      <w:r>
        <w:t>.</w:t>
      </w:r>
    </w:p>
    <w:p w:rsidR="007B40C9" w:rsidRDefault="007B40C9" w:rsidP="001156F0">
      <w:pPr>
        <w:pStyle w:val="NumbList"/>
        <w:numPr>
          <w:ilvl w:val="0"/>
          <w:numId w:val="72"/>
        </w:numPr>
        <w:ind w:left="426" w:hanging="426"/>
      </w:pPr>
      <w:r w:rsidRPr="005D4EF2">
        <w:t xml:space="preserve">Control staff </w:t>
      </w:r>
      <w:r w:rsidR="0082421D">
        <w:t>have</w:t>
      </w:r>
      <w:r w:rsidR="0082421D" w:rsidRPr="005D4EF2">
        <w:t xml:space="preserve"> </w:t>
      </w:r>
      <w:r w:rsidRPr="005D4EF2">
        <w:t>overspent by £19</w:t>
      </w:r>
      <w:r>
        <w:t>1</w:t>
      </w:r>
      <w:r w:rsidRPr="005D4EF2">
        <w:t xml:space="preserve">k due to high levels of overtime </w:t>
      </w:r>
      <w:r w:rsidR="00A54B69">
        <w:t>covering</w:t>
      </w:r>
      <w:r w:rsidRPr="005D4EF2">
        <w:t xml:space="preserve"> vacant posts</w:t>
      </w:r>
      <w:r w:rsidR="00D05376">
        <w:t>,</w:t>
      </w:r>
      <w:r w:rsidRPr="005D4EF2">
        <w:t xml:space="preserve"> and due to the pay offer of 2% being above the 1% budgeted for. At the end of March, there </w:t>
      </w:r>
      <w:r w:rsidR="00D05376">
        <w:t>we</w:t>
      </w:r>
      <w:r w:rsidRPr="005D4EF2">
        <w:t xml:space="preserve">re 1.8 vacancies within </w:t>
      </w:r>
      <w:r w:rsidR="00D05376">
        <w:t>C</w:t>
      </w:r>
      <w:r w:rsidRPr="005D4EF2">
        <w:t xml:space="preserve">ontrol, and it is expected that the overtime costs will begin to reduce in the new </w:t>
      </w:r>
      <w:r w:rsidR="00D05376">
        <w:t xml:space="preserve">financial </w:t>
      </w:r>
      <w:r w:rsidRPr="005D4EF2">
        <w:t>year once new staff become competent.</w:t>
      </w:r>
    </w:p>
    <w:p w:rsidR="007B40C9" w:rsidRPr="00CE12FE" w:rsidRDefault="007E1EC8" w:rsidP="00CE12FE">
      <w:pPr>
        <w:pStyle w:val="Heading"/>
        <w:rPr>
          <w:rFonts w:ascii="FoundrySansDemi" w:hAnsi="FoundrySansDemi"/>
        </w:rPr>
      </w:pPr>
      <w:r w:rsidRPr="00CE12FE">
        <w:rPr>
          <w:rFonts w:ascii="FoundrySansDemi" w:hAnsi="FoundrySansDemi"/>
          <w:b w:val="0"/>
          <w:sz w:val="24"/>
        </w:rPr>
        <w:t>Employee Related</w:t>
      </w:r>
    </w:p>
    <w:p w:rsidR="007E1EC8" w:rsidRDefault="007E1EC8" w:rsidP="001156F0">
      <w:pPr>
        <w:pStyle w:val="NumbList"/>
        <w:numPr>
          <w:ilvl w:val="0"/>
          <w:numId w:val="72"/>
        </w:numPr>
        <w:ind w:left="426" w:hanging="426"/>
      </w:pPr>
      <w:r>
        <w:t>Th</w:t>
      </w:r>
      <w:r w:rsidR="009000F1">
        <w:t xml:space="preserve">ere is an underspend </w:t>
      </w:r>
      <w:r w:rsidR="009000F1" w:rsidRPr="00BF2409">
        <w:t>of £</w:t>
      </w:r>
      <w:r w:rsidR="00BF2409" w:rsidRPr="001156F0">
        <w:t>1,103</w:t>
      </w:r>
      <w:r w:rsidR="009000F1" w:rsidRPr="00BF2409">
        <w:t>k</w:t>
      </w:r>
      <w:r w:rsidR="009000F1">
        <w:t xml:space="preserve"> </w:t>
      </w:r>
      <w:r>
        <w:t xml:space="preserve">on </w:t>
      </w:r>
      <w:r w:rsidR="00BF2409">
        <w:t>Employee Related Budget</w:t>
      </w:r>
      <w:r w:rsidR="00DD6AC5">
        <w:t>s</w:t>
      </w:r>
      <w:r w:rsidR="00BF2409">
        <w:t xml:space="preserve"> </w:t>
      </w:r>
      <w:r w:rsidR="00A54B69">
        <w:t>including</w:t>
      </w:r>
      <w:r w:rsidR="00BF2409">
        <w:t xml:space="preserve"> </w:t>
      </w:r>
      <w:r w:rsidR="00E134FB">
        <w:t>£</w:t>
      </w:r>
      <w:r w:rsidR="001156F0">
        <w:t>5</w:t>
      </w:r>
      <w:r w:rsidR="00E134FB">
        <w:t>00k</w:t>
      </w:r>
      <w:r w:rsidR="00BF2409">
        <w:t xml:space="preserve"> on </w:t>
      </w:r>
      <w:r>
        <w:t xml:space="preserve">Professional Development </w:t>
      </w:r>
      <w:r w:rsidR="00BF2409">
        <w:t>because of</w:t>
      </w:r>
      <w:r>
        <w:t xml:space="preserve"> delays in a number of projects</w:t>
      </w:r>
      <w:r w:rsidR="00BF2409">
        <w:t xml:space="preserve"> </w:t>
      </w:r>
      <w:r w:rsidR="009000F1">
        <w:t>including</w:t>
      </w:r>
      <w:r w:rsidR="009000F1" w:rsidRPr="009000F1">
        <w:t xml:space="preserve"> delays in the commen</w:t>
      </w:r>
      <w:r w:rsidR="009000F1">
        <w:t>cement of Fire Safety training</w:t>
      </w:r>
      <w:r w:rsidR="00D05376" w:rsidRPr="00D05376">
        <w:t xml:space="preserve"> </w:t>
      </w:r>
      <w:r w:rsidR="00D05376">
        <w:t>where a new course i</w:t>
      </w:r>
      <w:r w:rsidR="004A17FE">
        <w:t>s</w:t>
      </w:r>
      <w:r w:rsidR="00D05376">
        <w:t xml:space="preserve"> being put in place with Babcock to replace the one previously provided by the Fire Protection Association</w:t>
      </w:r>
      <w:r w:rsidR="0034484F">
        <w:t>,</w:t>
      </w:r>
      <w:r w:rsidR="008B2EED">
        <w:t xml:space="preserve"> and </w:t>
      </w:r>
      <w:r w:rsidR="009000F1">
        <w:t>£</w:t>
      </w:r>
      <w:r w:rsidR="00E134FB">
        <w:t>100k</w:t>
      </w:r>
      <w:r w:rsidR="00DC3D98" w:rsidRPr="00DC3D98">
        <w:t xml:space="preserve"> due to abatements on the training contract</w:t>
      </w:r>
      <w:r w:rsidR="008B2EED">
        <w:t>. As</w:t>
      </w:r>
      <w:r w:rsidR="00E134FB">
        <w:t xml:space="preserve"> previously reported</w:t>
      </w:r>
      <w:r w:rsidR="008B2EED">
        <w:t>, there is also an</w:t>
      </w:r>
      <w:r w:rsidR="00E134FB">
        <w:t xml:space="preserve"> underspend relating to</w:t>
      </w:r>
      <w:r w:rsidR="00A54B69">
        <w:t xml:space="preserve"> a</w:t>
      </w:r>
      <w:r w:rsidR="00E134FB">
        <w:t xml:space="preserve"> one-off budget of £830k that was created in 2017/18 to fund costs involved in offering inoculations to staff now transferred to an earmarked reserve to cover the planned spend in </w:t>
      </w:r>
      <w:r w:rsidR="009F6C79">
        <w:t>future years</w:t>
      </w:r>
      <w:r w:rsidR="00E134FB">
        <w:t>.</w:t>
      </w:r>
      <w:r w:rsidR="00DD6AC5">
        <w:t xml:space="preserve"> These are offset by an overspend on compensation of £391k</w:t>
      </w:r>
      <w:r w:rsidR="00A54B69">
        <w:t>,</w:t>
      </w:r>
      <w:r w:rsidR="00DD6AC5">
        <w:t xml:space="preserve"> </w:t>
      </w:r>
      <w:r w:rsidR="008B2EED" w:rsidRPr="00612E9D">
        <w:t>due to a number of large value personal injury cases</w:t>
      </w:r>
      <w:r w:rsidR="008B2EED">
        <w:t>.</w:t>
      </w:r>
    </w:p>
    <w:p w:rsidR="007E1EC8" w:rsidRPr="00830757" w:rsidRDefault="007E1EC8" w:rsidP="007E1EC8">
      <w:pPr>
        <w:pStyle w:val="Heading"/>
        <w:rPr>
          <w:rFonts w:ascii="FoundrySansDemi" w:hAnsi="FoundrySansDemi"/>
          <w:b w:val="0"/>
          <w:sz w:val="24"/>
        </w:rPr>
      </w:pPr>
      <w:r>
        <w:rPr>
          <w:rFonts w:ascii="FoundrySansDemi" w:hAnsi="FoundrySansDemi"/>
          <w:b w:val="0"/>
          <w:sz w:val="24"/>
        </w:rPr>
        <w:t>Firefighter Injury Pensions</w:t>
      </w:r>
    </w:p>
    <w:p w:rsidR="007E1EC8" w:rsidRDefault="00715A05" w:rsidP="001156F0">
      <w:pPr>
        <w:pStyle w:val="NumbList"/>
        <w:numPr>
          <w:ilvl w:val="0"/>
          <w:numId w:val="72"/>
        </w:numPr>
        <w:ind w:left="426" w:hanging="426"/>
      </w:pPr>
      <w:r>
        <w:t>The underspend on Firefigh</w:t>
      </w:r>
      <w:r w:rsidR="00C4655F">
        <w:t>t</w:t>
      </w:r>
      <w:r>
        <w:t xml:space="preserve">er Injury Pensions </w:t>
      </w:r>
      <w:r w:rsidR="00D05376" w:rsidRPr="008854B9">
        <w:t xml:space="preserve">of </w:t>
      </w:r>
      <w:r w:rsidR="007E1EC8" w:rsidRPr="008854B9">
        <w:t>£</w:t>
      </w:r>
      <w:r w:rsidR="008854B9" w:rsidRPr="001156F0">
        <w:t>144</w:t>
      </w:r>
      <w:r w:rsidR="007E1EC8" w:rsidRPr="008854B9">
        <w:t>k</w:t>
      </w:r>
      <w:r w:rsidR="007E1EC8">
        <w:t xml:space="preserve"> </w:t>
      </w:r>
      <w:r w:rsidR="00A54B69">
        <w:t xml:space="preserve">was </w:t>
      </w:r>
      <w:r w:rsidR="00C4655F">
        <w:t>as a result of</w:t>
      </w:r>
      <w:r w:rsidR="007E1EC8">
        <w:t xml:space="preserve"> mortality and medical reviews</w:t>
      </w:r>
      <w:r w:rsidR="005B5B75">
        <w:t>.</w:t>
      </w:r>
    </w:p>
    <w:p w:rsidR="007E1EC8" w:rsidRPr="00830757" w:rsidRDefault="007E1EC8" w:rsidP="007E1EC8">
      <w:pPr>
        <w:pStyle w:val="Heading"/>
        <w:rPr>
          <w:rFonts w:ascii="FoundrySansDemi" w:hAnsi="FoundrySansDemi"/>
          <w:b w:val="0"/>
          <w:sz w:val="24"/>
        </w:rPr>
      </w:pPr>
      <w:r>
        <w:rPr>
          <w:rFonts w:ascii="FoundrySansDemi" w:hAnsi="FoundrySansDemi"/>
          <w:b w:val="0"/>
          <w:sz w:val="24"/>
        </w:rPr>
        <w:t>Premises</w:t>
      </w:r>
    </w:p>
    <w:p w:rsidR="00392748" w:rsidRDefault="00C4655F" w:rsidP="001156F0">
      <w:pPr>
        <w:pStyle w:val="NumbList"/>
        <w:numPr>
          <w:ilvl w:val="0"/>
          <w:numId w:val="72"/>
        </w:numPr>
        <w:ind w:left="426" w:hanging="426"/>
      </w:pPr>
      <w:r>
        <w:t>The u</w:t>
      </w:r>
      <w:r w:rsidR="00BE0733">
        <w:t>nderspend of £1,0</w:t>
      </w:r>
      <w:r w:rsidR="008854B9">
        <w:t>3</w:t>
      </w:r>
      <w:r w:rsidR="00BE0733">
        <w:t>9k</w:t>
      </w:r>
      <w:r w:rsidR="00642BA7">
        <w:t xml:space="preserve"> on Pr</w:t>
      </w:r>
      <w:r w:rsidR="005B5B75">
        <w:t xml:space="preserve">emises Budgets </w:t>
      </w:r>
      <w:r>
        <w:t>includes</w:t>
      </w:r>
      <w:r w:rsidR="005B5B75">
        <w:t xml:space="preserve"> </w:t>
      </w:r>
      <w:r w:rsidR="00392748">
        <w:t>an underspend of £3,11</w:t>
      </w:r>
      <w:r w:rsidR="008854B9">
        <w:t>2</w:t>
      </w:r>
      <w:r w:rsidR="00392748">
        <w:t>k on property rates</w:t>
      </w:r>
      <w:r w:rsidR="00A54B69">
        <w:t>,</w:t>
      </w:r>
      <w:r w:rsidR="00392748">
        <w:t xml:space="preserve"> offset by an overspend of £1,673k on building maintenance. </w:t>
      </w:r>
    </w:p>
    <w:p w:rsidR="00392748" w:rsidRDefault="00392748" w:rsidP="001156F0">
      <w:pPr>
        <w:pStyle w:val="NumbList"/>
        <w:numPr>
          <w:ilvl w:val="0"/>
          <w:numId w:val="72"/>
        </w:numPr>
        <w:ind w:left="426" w:hanging="426"/>
      </w:pPr>
      <w:r>
        <w:t xml:space="preserve">The underspend on rates includes </w:t>
      </w:r>
      <w:r w:rsidR="00C4655F">
        <w:t xml:space="preserve">a </w:t>
      </w:r>
      <w:r w:rsidR="005B5B75">
        <w:t>£2,017k</w:t>
      </w:r>
      <w:r w:rsidR="00642BA7" w:rsidRPr="00642BA7">
        <w:t xml:space="preserve"> </w:t>
      </w:r>
      <w:r w:rsidR="00642BA7">
        <w:t>under</w:t>
      </w:r>
      <w:r w:rsidR="00642BA7" w:rsidRPr="00642BA7">
        <w:t xml:space="preserve">spend </w:t>
      </w:r>
      <w:r w:rsidR="00D05376">
        <w:t>following</w:t>
      </w:r>
      <w:r w:rsidR="00642BA7" w:rsidRPr="00642BA7">
        <w:t xml:space="preserve"> </w:t>
      </w:r>
      <w:r>
        <w:t>a</w:t>
      </w:r>
      <w:r w:rsidRPr="00642BA7">
        <w:t xml:space="preserve"> </w:t>
      </w:r>
      <w:r w:rsidR="00642BA7" w:rsidRPr="00642BA7">
        <w:t>successful appeal that was l</w:t>
      </w:r>
      <w:r w:rsidR="00BE0733">
        <w:t xml:space="preserve">odged by the Estates Management </w:t>
      </w:r>
      <w:r w:rsidR="00D05376">
        <w:t>C</w:t>
      </w:r>
      <w:r w:rsidR="00642BA7" w:rsidRPr="00642BA7">
        <w:t xml:space="preserve">onsultant </w:t>
      </w:r>
      <w:r w:rsidR="00D05376" w:rsidRPr="0086624F">
        <w:t>(Don &amp; Wright)</w:t>
      </w:r>
      <w:r w:rsidR="00D05376">
        <w:t xml:space="preserve"> </w:t>
      </w:r>
      <w:r w:rsidR="00642BA7" w:rsidRPr="00642BA7">
        <w:t>for the 2010 valuations. This had previously been included as a saving in 2018/19 but has now been achi</w:t>
      </w:r>
      <w:r w:rsidR="00642BA7">
        <w:t>eved earlier than</w:t>
      </w:r>
      <w:r w:rsidR="0034484F">
        <w:t xml:space="preserve"> originally</w:t>
      </w:r>
      <w:r w:rsidR="00642BA7">
        <w:t xml:space="preserve"> expected</w:t>
      </w:r>
      <w:r>
        <w:t>. The remaining rates underspend was</w:t>
      </w:r>
      <w:r w:rsidR="00642BA7" w:rsidRPr="00642BA7">
        <w:t xml:space="preserve"> due to surplus funding</w:t>
      </w:r>
      <w:r w:rsidR="005B5B75">
        <w:t xml:space="preserve"> of £1,095k</w:t>
      </w:r>
      <w:r w:rsidR="00642BA7" w:rsidRPr="00642BA7">
        <w:t xml:space="preserve"> </w:t>
      </w:r>
      <w:r w:rsidR="00692FD0">
        <w:t xml:space="preserve">that could now be released following advice received </w:t>
      </w:r>
      <w:r w:rsidR="0086624F" w:rsidRPr="0086624F">
        <w:t>from the Estates Management Consultant</w:t>
      </w:r>
      <w:r w:rsidR="00692FD0">
        <w:t xml:space="preserve">. </w:t>
      </w:r>
      <w:r>
        <w:t>This</w:t>
      </w:r>
      <w:r w:rsidR="0086624F" w:rsidRPr="0086624F">
        <w:t xml:space="preserve"> enabled</w:t>
      </w:r>
      <w:r w:rsidR="00686CBD">
        <w:t xml:space="preserve"> rates</w:t>
      </w:r>
      <w:r w:rsidR="0086624F" w:rsidRPr="0086624F">
        <w:t xml:space="preserve"> liabilities</w:t>
      </w:r>
      <w:r w:rsidR="00686CBD">
        <w:t>,</w:t>
      </w:r>
      <w:r w:rsidR="0086624F" w:rsidRPr="0086624F">
        <w:t xml:space="preserve"> raised in 2016/17 for two PFI fire stations</w:t>
      </w:r>
      <w:r>
        <w:t xml:space="preserve"> </w:t>
      </w:r>
      <w:r w:rsidR="0086624F" w:rsidRPr="0086624F">
        <w:t>and a provision for Union Street</w:t>
      </w:r>
      <w:r w:rsidR="00686CBD">
        <w:t>,</w:t>
      </w:r>
      <w:r>
        <w:t xml:space="preserve"> to</w:t>
      </w:r>
      <w:r w:rsidR="0086624F" w:rsidRPr="0086624F">
        <w:t xml:space="preserve"> be released</w:t>
      </w:r>
      <w:r w:rsidR="00A31DDB">
        <w:t>.</w:t>
      </w:r>
    </w:p>
    <w:p w:rsidR="007E1EC8" w:rsidRDefault="00392748" w:rsidP="001156F0">
      <w:pPr>
        <w:pStyle w:val="NumbList"/>
        <w:numPr>
          <w:ilvl w:val="0"/>
          <w:numId w:val="72"/>
        </w:numPr>
        <w:ind w:left="426" w:hanging="426"/>
      </w:pPr>
      <w:r>
        <w:t>The</w:t>
      </w:r>
      <w:r w:rsidR="005B5B75">
        <w:t xml:space="preserve"> overspend</w:t>
      </w:r>
      <w:r w:rsidR="00BE0733" w:rsidRPr="00BE0733">
        <w:t xml:space="preserve"> on </w:t>
      </w:r>
      <w:r w:rsidR="005B5B75">
        <w:t>building maintenance</w:t>
      </w:r>
      <w:r w:rsidR="00BE0733" w:rsidRPr="00BE0733">
        <w:t xml:space="preserve"> (£1,</w:t>
      </w:r>
      <w:r w:rsidR="0003101E">
        <w:t>673</w:t>
      </w:r>
      <w:r w:rsidR="00BE0733" w:rsidRPr="00BE0733">
        <w:t xml:space="preserve">k) </w:t>
      </w:r>
      <w:r>
        <w:t>was as a result of</w:t>
      </w:r>
      <w:r w:rsidRPr="00BE0733">
        <w:t xml:space="preserve"> </w:t>
      </w:r>
      <w:r w:rsidR="00BE0733" w:rsidRPr="00BE0733">
        <w:t>the decision to progress a backlog of works aimed at improving the overall condition of the whole estate</w:t>
      </w:r>
      <w:r>
        <w:t>,</w:t>
      </w:r>
      <w:r w:rsidR="00BE0733" w:rsidRPr="00BE0733">
        <w:t xml:space="preserve"> including repairs, refurbishment and minor improvements to properties</w:t>
      </w:r>
      <w:r w:rsidR="005B5B75">
        <w:t>.</w:t>
      </w:r>
      <w:r w:rsidR="00642BA7">
        <w:t xml:space="preserve"> </w:t>
      </w:r>
    </w:p>
    <w:p w:rsidR="007E1EC8" w:rsidRPr="00830757" w:rsidRDefault="007E1EC8" w:rsidP="007E1EC8">
      <w:pPr>
        <w:pStyle w:val="Heading"/>
        <w:rPr>
          <w:rFonts w:ascii="FoundrySansDemi" w:hAnsi="FoundrySansDemi"/>
          <w:b w:val="0"/>
          <w:sz w:val="24"/>
        </w:rPr>
      </w:pPr>
      <w:r>
        <w:rPr>
          <w:rFonts w:ascii="FoundrySansDemi" w:hAnsi="FoundrySansDemi"/>
          <w:b w:val="0"/>
          <w:sz w:val="24"/>
        </w:rPr>
        <w:t>Transport</w:t>
      </w:r>
    </w:p>
    <w:p w:rsidR="00285D7D" w:rsidRDefault="001A4307" w:rsidP="00C37054">
      <w:pPr>
        <w:pStyle w:val="ListParagraph"/>
        <w:numPr>
          <w:ilvl w:val="0"/>
          <w:numId w:val="72"/>
        </w:numPr>
      </w:pPr>
      <w:r>
        <w:t>T</w:t>
      </w:r>
      <w:r w:rsidR="008A1CCA">
        <w:t>here is an underspend of £440k on t</w:t>
      </w:r>
      <w:r>
        <w:t>ransport</w:t>
      </w:r>
      <w:r w:rsidR="008A1CCA">
        <w:t xml:space="preserve"> budgets</w:t>
      </w:r>
      <w:r w:rsidR="0034484F">
        <w:t>,</w:t>
      </w:r>
      <w:r>
        <w:t xml:space="preserve"> an increase of £297k from the position reported a</w:t>
      </w:r>
      <w:r w:rsidR="00285D7D">
        <w:t>t Quarter 3</w:t>
      </w:r>
      <w:r w:rsidR="0034484F">
        <w:t>,</w:t>
      </w:r>
      <w:r w:rsidR="00285D7D">
        <w:t xml:space="preserve"> </w:t>
      </w:r>
      <w:r w:rsidR="0034484F">
        <w:t xml:space="preserve">on </w:t>
      </w:r>
      <w:r w:rsidR="00A54B69">
        <w:t>v</w:t>
      </w:r>
      <w:r w:rsidR="00A54B69" w:rsidRPr="00BE0733">
        <w:t>ehicle passthrough</w:t>
      </w:r>
      <w:r w:rsidR="00A54B69">
        <w:t xml:space="preserve">s (£162k) due </w:t>
      </w:r>
      <w:r w:rsidR="009F6C79">
        <w:t xml:space="preserve">to </w:t>
      </w:r>
      <w:r w:rsidR="00A54B69">
        <w:t xml:space="preserve">lower </w:t>
      </w:r>
      <w:r w:rsidR="0034484F">
        <w:t xml:space="preserve">numbers of </w:t>
      </w:r>
      <w:r w:rsidR="00A54B69">
        <w:t>repairs</w:t>
      </w:r>
      <w:r w:rsidR="00A54B69" w:rsidDel="00285D7D">
        <w:t xml:space="preserve"> </w:t>
      </w:r>
      <w:r w:rsidR="00A54B69">
        <w:t xml:space="preserve">and an </w:t>
      </w:r>
      <w:r>
        <w:t>additional</w:t>
      </w:r>
      <w:r w:rsidR="00BE0733">
        <w:t xml:space="preserve"> underspend </w:t>
      </w:r>
      <w:r w:rsidR="00C37054">
        <w:t>(</w:t>
      </w:r>
      <w:r w:rsidR="00BE0733">
        <w:t>£</w:t>
      </w:r>
      <w:r>
        <w:t>133k</w:t>
      </w:r>
      <w:r w:rsidR="00C37054">
        <w:t>)</w:t>
      </w:r>
      <w:r w:rsidR="00BE0733" w:rsidRPr="00BE0733">
        <w:t xml:space="preserve"> on</w:t>
      </w:r>
      <w:r w:rsidR="005B5B75">
        <w:t xml:space="preserve"> </w:t>
      </w:r>
      <w:r w:rsidR="00C4655F">
        <w:t xml:space="preserve">the </w:t>
      </w:r>
      <w:r w:rsidR="005B5B75">
        <w:t xml:space="preserve">vehicle and equipment contract </w:t>
      </w:r>
      <w:r w:rsidR="00BE0733" w:rsidRPr="00BE0733">
        <w:t>due to abatements</w:t>
      </w:r>
      <w:r w:rsidR="003D6318">
        <w:t xml:space="preserve">. </w:t>
      </w:r>
    </w:p>
    <w:p w:rsidR="00285D7D" w:rsidRDefault="00285D7D" w:rsidP="0029791E">
      <w:pPr>
        <w:pStyle w:val="ListParagraph"/>
        <w:ind w:left="502"/>
      </w:pPr>
    </w:p>
    <w:p w:rsidR="00C37054" w:rsidRPr="00C37054" w:rsidRDefault="00C37054" w:rsidP="007F0DAF">
      <w:pPr>
        <w:pStyle w:val="ListParagraph"/>
        <w:numPr>
          <w:ilvl w:val="0"/>
          <w:numId w:val="72"/>
        </w:numPr>
      </w:pPr>
      <w:r w:rsidRPr="00C37054">
        <w:t>The previously reported position</w:t>
      </w:r>
      <w:r w:rsidR="008A1CCA">
        <w:t xml:space="preserve"> at Quarter 3</w:t>
      </w:r>
      <w:r w:rsidRPr="00C37054">
        <w:t xml:space="preserve"> inclu</w:t>
      </w:r>
      <w:r w:rsidR="00630169">
        <w:t>de</w:t>
      </w:r>
      <w:r w:rsidR="007406D8">
        <w:t>d</w:t>
      </w:r>
      <w:r w:rsidR="008A1CCA">
        <w:t xml:space="preserve"> </w:t>
      </w:r>
      <w:r w:rsidR="00630169">
        <w:t>underspends of £1</w:t>
      </w:r>
      <w:r w:rsidR="00285D7D">
        <w:t>5</w:t>
      </w:r>
      <w:r w:rsidR="00630169">
        <w:t>2</w:t>
      </w:r>
      <w:r w:rsidRPr="00C37054">
        <w:t>k on vehicle passthroughs</w:t>
      </w:r>
      <w:r w:rsidR="00A54B69">
        <w:t>,</w:t>
      </w:r>
      <w:r w:rsidRPr="00C37054">
        <w:t xml:space="preserve"> due to spend for the ultra low emission zone that has been reallocated to the 2018/19 financial year</w:t>
      </w:r>
      <w:r w:rsidR="007F0DAF">
        <w:t xml:space="preserve">, </w:t>
      </w:r>
      <w:r w:rsidRPr="00C37054">
        <w:t xml:space="preserve">abatements on the vehicle </w:t>
      </w:r>
      <w:r w:rsidR="007F0DAF">
        <w:t>and equipment contract of £91k and reduction in spend of £95</w:t>
      </w:r>
      <w:r w:rsidR="007F0DAF" w:rsidRPr="007F0DAF">
        <w:t xml:space="preserve">k </w:t>
      </w:r>
      <w:r w:rsidR="007F0DAF">
        <w:t xml:space="preserve">in the </w:t>
      </w:r>
      <w:r w:rsidR="007F0DAF" w:rsidRPr="007F0DAF">
        <w:t xml:space="preserve"> charges for lease cars. </w:t>
      </w:r>
      <w:r w:rsidRPr="00C37054">
        <w:t>These under</w:t>
      </w:r>
      <w:r w:rsidR="008A1CCA">
        <w:t>spends are offset by a</w:t>
      </w:r>
      <w:r w:rsidR="00A54B69">
        <w:t>n</w:t>
      </w:r>
      <w:r w:rsidR="008A1CCA">
        <w:t xml:space="preserve"> </w:t>
      </w:r>
      <w:r w:rsidRPr="00C37054">
        <w:t>oversp</w:t>
      </w:r>
      <w:r w:rsidR="007F0DAF">
        <w:t>end on insurance budgets of £245</w:t>
      </w:r>
      <w:r w:rsidRPr="00C37054">
        <w:t>k following changes to the discount rates within personal injur</w:t>
      </w:r>
      <w:r w:rsidR="007F0DAF">
        <w:t xml:space="preserve">y markets and a higher </w:t>
      </w:r>
      <w:r w:rsidRPr="00C37054">
        <w:t>cost of insurance claims.</w:t>
      </w:r>
    </w:p>
    <w:p w:rsidR="007E1EC8" w:rsidRDefault="007E1EC8" w:rsidP="007E1EC8">
      <w:pPr>
        <w:pStyle w:val="Heading"/>
        <w:rPr>
          <w:rFonts w:ascii="FoundrySansDemi" w:hAnsi="FoundrySansDemi"/>
          <w:b w:val="0"/>
          <w:sz w:val="24"/>
        </w:rPr>
      </w:pPr>
      <w:r>
        <w:rPr>
          <w:rFonts w:ascii="FoundrySansDemi" w:hAnsi="FoundrySansDemi"/>
          <w:b w:val="0"/>
          <w:sz w:val="24"/>
        </w:rPr>
        <w:t>Supplies and Services</w:t>
      </w:r>
    </w:p>
    <w:p w:rsidR="005F18F5" w:rsidRPr="0017737B" w:rsidRDefault="005F18F5" w:rsidP="00593362">
      <w:pPr>
        <w:pStyle w:val="NumbList"/>
        <w:numPr>
          <w:ilvl w:val="0"/>
          <w:numId w:val="72"/>
        </w:numPr>
        <w:rPr>
          <w:b/>
        </w:rPr>
      </w:pPr>
      <w:r>
        <w:t>There is an underspend of £</w:t>
      </w:r>
      <w:r w:rsidRPr="008854B9">
        <w:t>1,</w:t>
      </w:r>
      <w:r w:rsidR="008854B9" w:rsidRPr="008B2EED">
        <w:t>110</w:t>
      </w:r>
      <w:r w:rsidRPr="008854B9">
        <w:t>k</w:t>
      </w:r>
      <w:r>
        <w:t xml:space="preserve"> on Supplies and Services mainly on Hardware and Software </w:t>
      </w:r>
      <w:r w:rsidR="003A41C6">
        <w:t>(£6</w:t>
      </w:r>
      <w:r w:rsidR="00202F46">
        <w:t>30</w:t>
      </w:r>
      <w:r w:rsidR="003A41C6">
        <w:t>k) with</w:t>
      </w:r>
      <w:r>
        <w:t xml:space="preserve"> delays </w:t>
      </w:r>
      <w:r w:rsidR="003A41C6">
        <w:t>due to a</w:t>
      </w:r>
      <w:r>
        <w:t xml:space="preserve"> number of implementation issues on major projects including the mobile data terminals, Windows 10 and Farynor</w:t>
      </w:r>
      <w:r w:rsidR="006D56BA">
        <w:t xml:space="preserve"> - </w:t>
      </w:r>
      <w:r w:rsidR="003A41C6">
        <w:t xml:space="preserve"> t</w:t>
      </w:r>
      <w:r>
        <w:t xml:space="preserve">his underspend </w:t>
      </w:r>
      <w:r w:rsidR="007406D8">
        <w:t xml:space="preserve">is to </w:t>
      </w:r>
      <w:r>
        <w:t>be transferred into</w:t>
      </w:r>
      <w:r w:rsidR="003A41C6">
        <w:t xml:space="preserve"> the</w:t>
      </w:r>
      <w:r>
        <w:t xml:space="preserve"> ICT Development earmarked reserve to cover planned</w:t>
      </w:r>
      <w:r w:rsidR="003E40E4">
        <w:t xml:space="preserve"> </w:t>
      </w:r>
      <w:r>
        <w:t>spend in 2018/19</w:t>
      </w:r>
      <w:r w:rsidR="008A42EC">
        <w:t>. There were also underspends on</w:t>
      </w:r>
      <w:r>
        <w:t xml:space="preserve"> </w:t>
      </w:r>
      <w:r w:rsidR="008A42EC">
        <w:t>h</w:t>
      </w:r>
      <w:r w:rsidR="0019598A">
        <w:t>ydrants maintenance</w:t>
      </w:r>
      <w:r>
        <w:t xml:space="preserve"> </w:t>
      </w:r>
      <w:r w:rsidR="008A42EC">
        <w:t xml:space="preserve">(£201k) </w:t>
      </w:r>
      <w:r w:rsidR="0019598A">
        <w:t xml:space="preserve">due </w:t>
      </w:r>
      <w:r w:rsidR="00A54B69">
        <w:t xml:space="preserve">to a </w:t>
      </w:r>
      <w:r w:rsidR="0019598A">
        <w:t xml:space="preserve">lower </w:t>
      </w:r>
      <w:r w:rsidR="003A41C6">
        <w:t xml:space="preserve">number of </w:t>
      </w:r>
      <w:r w:rsidR="0019598A">
        <w:t>repairs than budgeted</w:t>
      </w:r>
      <w:r w:rsidR="00F85745">
        <w:t xml:space="preserve"> and </w:t>
      </w:r>
      <w:r w:rsidR="00A54B69">
        <w:t xml:space="preserve">a </w:t>
      </w:r>
      <w:r w:rsidR="00F85745">
        <w:t xml:space="preserve">reduction in spend </w:t>
      </w:r>
      <w:r w:rsidR="005561A1">
        <w:t xml:space="preserve">as well as </w:t>
      </w:r>
      <w:r w:rsidR="00166928">
        <w:t>an</w:t>
      </w:r>
      <w:r w:rsidR="00593362" w:rsidRPr="00593362">
        <w:t xml:space="preserve"> </w:t>
      </w:r>
      <w:r w:rsidR="00593362">
        <w:t>a</w:t>
      </w:r>
      <w:r w:rsidR="00593362" w:rsidRPr="00593362">
        <w:t>djustment to</w:t>
      </w:r>
      <w:r w:rsidR="00166928">
        <w:t xml:space="preserve"> the</w:t>
      </w:r>
      <w:r w:rsidR="00593362" w:rsidRPr="00593362">
        <w:t xml:space="preserve"> balance</w:t>
      </w:r>
      <w:r w:rsidR="005561A1">
        <w:t>s</w:t>
      </w:r>
      <w:r w:rsidR="00593362" w:rsidRPr="00593362">
        <w:t xml:space="preserve"> </w:t>
      </w:r>
      <w:r w:rsidR="005561A1">
        <w:t xml:space="preserve">on smoke alarms </w:t>
      </w:r>
      <w:r w:rsidR="00593362" w:rsidRPr="00593362">
        <w:t>carried forward from previous years as part of the end of year reconciliations</w:t>
      </w:r>
      <w:r w:rsidR="005561A1">
        <w:t xml:space="preserve"> (£234k)</w:t>
      </w:r>
      <w:r w:rsidR="001E0D7D">
        <w:t xml:space="preserve">. </w:t>
      </w:r>
      <w:r w:rsidR="008A42EC">
        <w:t>The</w:t>
      </w:r>
      <w:r w:rsidR="003E40E4">
        <w:t xml:space="preserve"> movement of £</w:t>
      </w:r>
      <w:r w:rsidR="00F85745">
        <w:t>1,385</w:t>
      </w:r>
      <w:r w:rsidR="003E40E4">
        <w:t>k sin</w:t>
      </w:r>
      <w:r w:rsidR="006D56BA">
        <w:t>ce last reported at the end of Q</w:t>
      </w:r>
      <w:r w:rsidR="003E40E4">
        <w:t xml:space="preserve">uarter 3 is </w:t>
      </w:r>
      <w:r w:rsidR="003E40E4" w:rsidRPr="003E40E4">
        <w:t xml:space="preserve">mainly due to </w:t>
      </w:r>
      <w:r w:rsidR="00A5475F">
        <w:t xml:space="preserve">£391k on Operational Equipment due to </w:t>
      </w:r>
      <w:r w:rsidR="003E40E4" w:rsidRPr="003E40E4">
        <w:t xml:space="preserve">spend on </w:t>
      </w:r>
      <w:r w:rsidR="008A42EC">
        <w:t xml:space="preserve">the </w:t>
      </w:r>
      <w:r w:rsidR="003E40E4" w:rsidRPr="003E40E4">
        <w:t xml:space="preserve">Firefighter new technology project </w:t>
      </w:r>
      <w:r w:rsidR="00BE27B7">
        <w:t>(</w:t>
      </w:r>
      <w:r w:rsidR="003E40E4" w:rsidRPr="003E40E4">
        <w:t>£202k</w:t>
      </w:r>
      <w:r w:rsidR="00BE27B7">
        <w:t>)</w:t>
      </w:r>
      <w:r w:rsidR="003E40E4" w:rsidRPr="003E40E4">
        <w:t xml:space="preserve"> that </w:t>
      </w:r>
      <w:r w:rsidR="008A42EC">
        <w:t>has slipped to the next financial</w:t>
      </w:r>
      <w:r w:rsidR="003E40E4" w:rsidRPr="003E40E4">
        <w:t xml:space="preserve"> year</w:t>
      </w:r>
      <w:r w:rsidR="008A42EC">
        <w:t xml:space="preserve">, </w:t>
      </w:r>
      <w:r w:rsidR="001349BC">
        <w:t xml:space="preserve">and </w:t>
      </w:r>
      <w:r w:rsidR="003E40E4" w:rsidRPr="003E40E4">
        <w:t>underspend on the flood response budget</w:t>
      </w:r>
      <w:r w:rsidR="00A5475F">
        <w:t xml:space="preserve"> (£59k)</w:t>
      </w:r>
      <w:r w:rsidR="003E40E4" w:rsidRPr="003E40E4">
        <w:t xml:space="preserve"> </w:t>
      </w:r>
      <w:r w:rsidR="007406D8">
        <w:t xml:space="preserve">as well as </w:t>
      </w:r>
      <w:r w:rsidR="00E97F43">
        <w:t xml:space="preserve">delays due to a number of implementation issues on major projects </w:t>
      </w:r>
      <w:r w:rsidR="001B72EC">
        <w:t>on Hardware and Software £630k</w:t>
      </w:r>
      <w:r w:rsidR="00714B7A">
        <w:t>.</w:t>
      </w:r>
    </w:p>
    <w:p w:rsidR="007B40C9" w:rsidRPr="0017737B" w:rsidRDefault="007B40C9" w:rsidP="0017737B">
      <w:pPr>
        <w:pStyle w:val="Heading"/>
        <w:rPr>
          <w:rFonts w:ascii="FoundrySansDemi" w:hAnsi="FoundrySansDemi"/>
        </w:rPr>
      </w:pPr>
      <w:r w:rsidRPr="0017737B">
        <w:rPr>
          <w:rFonts w:ascii="FoundrySansDemi" w:hAnsi="FoundrySansDemi"/>
          <w:b w:val="0"/>
          <w:sz w:val="24"/>
        </w:rPr>
        <w:t>Income</w:t>
      </w:r>
    </w:p>
    <w:p w:rsidR="007B40C9" w:rsidRPr="002E0FD8" w:rsidRDefault="007B40C9" w:rsidP="008B2EED">
      <w:pPr>
        <w:pStyle w:val="NumbList"/>
        <w:numPr>
          <w:ilvl w:val="0"/>
          <w:numId w:val="72"/>
        </w:numPr>
        <w:ind w:left="426" w:hanging="426"/>
      </w:pPr>
      <w:r w:rsidRPr="00C127F7">
        <w:t xml:space="preserve">Income budgets have over recovered </w:t>
      </w:r>
      <w:r w:rsidRPr="00066971">
        <w:t xml:space="preserve">by </w:t>
      </w:r>
      <w:r w:rsidRPr="009522EF">
        <w:t>£</w:t>
      </w:r>
      <w:r w:rsidR="00066971" w:rsidRPr="000E2E68">
        <w:t>2,164</w:t>
      </w:r>
      <w:r w:rsidRPr="009522EF">
        <w:t>k</w:t>
      </w:r>
      <w:r w:rsidR="005617F5">
        <w:t xml:space="preserve"> mainly due to MFB Act Income </w:t>
      </w:r>
      <w:r w:rsidR="00104E36">
        <w:t>(</w:t>
      </w:r>
      <w:r w:rsidR="005617F5">
        <w:t>£816k</w:t>
      </w:r>
      <w:r w:rsidR="00104E36">
        <w:t>) and on Customer and Client receipts</w:t>
      </w:r>
      <w:r w:rsidR="00BE27B7">
        <w:t xml:space="preserve"> (£</w:t>
      </w:r>
      <w:r w:rsidR="00066971">
        <w:t>1,405</w:t>
      </w:r>
      <w:r w:rsidR="00BE27B7">
        <w:t xml:space="preserve">k) </w:t>
      </w:r>
      <w:r>
        <w:t>due to the inclusion</w:t>
      </w:r>
      <w:r w:rsidR="00B8776A" w:rsidRPr="00B8776A">
        <w:t xml:space="preserve"> </w:t>
      </w:r>
      <w:r w:rsidR="00B8776A">
        <w:t>of £500k</w:t>
      </w:r>
      <w:r w:rsidR="00104E36">
        <w:t xml:space="preserve"> </w:t>
      </w:r>
      <w:r w:rsidR="008A42EC">
        <w:t xml:space="preserve">of </w:t>
      </w:r>
      <w:r w:rsidR="00104E36">
        <w:t>funds</w:t>
      </w:r>
      <w:r w:rsidR="00AF1D46">
        <w:t xml:space="preserve"> </w:t>
      </w:r>
      <w:r w:rsidR="00104E36">
        <w:t>for</w:t>
      </w:r>
      <w:r>
        <w:t xml:space="preserve"> LIFE, cadets and borough led Community Safety initiatives</w:t>
      </w:r>
      <w:r w:rsidR="00B8776A">
        <w:t xml:space="preserve"> which will be</w:t>
      </w:r>
      <w:r>
        <w:t xml:space="preserve">  transferred to the Fire Safety and Youth Engagement </w:t>
      </w:r>
      <w:r w:rsidR="005617F5">
        <w:t xml:space="preserve">earmarked </w:t>
      </w:r>
      <w:r>
        <w:t>reserv</w:t>
      </w:r>
      <w:r w:rsidR="00AF1D46">
        <w:t>e</w:t>
      </w:r>
      <w:r w:rsidR="007406D8">
        <w:t>, as well as</w:t>
      </w:r>
      <w:r w:rsidR="00AF1D46">
        <w:t xml:space="preserve"> £800k</w:t>
      </w:r>
      <w:r w:rsidR="00AF1D46" w:rsidRPr="00AF1D46">
        <w:t xml:space="preserve"> </w:t>
      </w:r>
      <w:r w:rsidR="007406D8">
        <w:t>adjustment to</w:t>
      </w:r>
      <w:r w:rsidR="00AF1D46" w:rsidRPr="00AF1D46">
        <w:t xml:space="preserve"> balances </w:t>
      </w:r>
      <w:r w:rsidR="00AF1D46">
        <w:t xml:space="preserve">carried forward from previous years </w:t>
      </w:r>
      <w:r w:rsidR="00AF1D46" w:rsidRPr="00AF1D46">
        <w:t xml:space="preserve">relating to </w:t>
      </w:r>
      <w:r w:rsidR="000C3ADD" w:rsidRPr="00AF1D46">
        <w:t>telecom</w:t>
      </w:r>
      <w:r w:rsidR="000C3ADD">
        <w:t>munications</w:t>
      </w:r>
      <w:r w:rsidR="00AF1D46" w:rsidRPr="00AF1D46">
        <w:t xml:space="preserve"> income identified in</w:t>
      </w:r>
      <w:r w:rsidR="000C3ADD">
        <w:t xml:space="preserve"> the</w:t>
      </w:r>
      <w:r w:rsidR="00AF1D46" w:rsidRPr="00AF1D46">
        <w:t xml:space="preserve"> 2017/18 end of year reconciliation</w:t>
      </w:r>
      <w:r w:rsidR="00AF1D46">
        <w:t>.</w:t>
      </w:r>
    </w:p>
    <w:p w:rsidR="007B40C9" w:rsidRPr="005F6B58" w:rsidRDefault="007B40C9" w:rsidP="008B2EED">
      <w:pPr>
        <w:pStyle w:val="NumbList"/>
        <w:numPr>
          <w:ilvl w:val="0"/>
          <w:numId w:val="72"/>
        </w:numPr>
        <w:ind w:left="426" w:hanging="426"/>
      </w:pPr>
      <w:r w:rsidRPr="005F6B58">
        <w:t xml:space="preserve">Appendix </w:t>
      </w:r>
      <w:r w:rsidR="005F6B58" w:rsidRPr="005F6B58">
        <w:t>5</w:t>
      </w:r>
      <w:r w:rsidRPr="005F6B58">
        <w:t xml:space="preserve"> includes an update on the position on outstanding </w:t>
      </w:r>
      <w:r w:rsidR="005F6B58" w:rsidRPr="005F6B58">
        <w:t xml:space="preserve">shut in lift </w:t>
      </w:r>
      <w:r w:rsidRPr="005F6B58">
        <w:t>debt.</w:t>
      </w:r>
    </w:p>
    <w:p w:rsidR="007B40C9" w:rsidRPr="0017737B" w:rsidRDefault="007B40C9" w:rsidP="0017737B">
      <w:pPr>
        <w:pStyle w:val="Heading"/>
        <w:rPr>
          <w:rFonts w:ascii="FoundrySansDemi" w:hAnsi="FoundrySansDemi"/>
        </w:rPr>
      </w:pPr>
      <w:r w:rsidRPr="0017737B">
        <w:rPr>
          <w:rFonts w:ascii="FoundrySansDemi" w:hAnsi="FoundrySansDemi"/>
          <w:b w:val="0"/>
          <w:sz w:val="24"/>
        </w:rPr>
        <w:t>Reserves</w:t>
      </w:r>
    </w:p>
    <w:p w:rsidR="00376BE4" w:rsidRPr="0003101E" w:rsidRDefault="00750DD9" w:rsidP="009124E6">
      <w:pPr>
        <w:pStyle w:val="NumbList"/>
        <w:numPr>
          <w:ilvl w:val="0"/>
          <w:numId w:val="72"/>
        </w:numPr>
        <w:ind w:left="426" w:hanging="426"/>
      </w:pPr>
      <w:r w:rsidRPr="002E0FD8">
        <w:t>Table 2 below sets out the position on the financial reserve</w:t>
      </w:r>
      <w:r w:rsidR="00C878D5">
        <w:t xml:space="preserve">s, resulting from the financial </w:t>
      </w:r>
      <w:r w:rsidRPr="002E0FD8">
        <w:t>position reported above</w:t>
      </w:r>
      <w:r w:rsidR="00ED5AFF">
        <w:t>.</w:t>
      </w:r>
      <w:r w:rsidR="00575018" w:rsidRPr="00575018">
        <w:t xml:space="preserve"> </w:t>
      </w:r>
      <w:r w:rsidR="00575018">
        <w:t>T</w:t>
      </w:r>
      <w:r w:rsidR="00575018" w:rsidRPr="00750DD9">
        <w:t>he balance on the general reserve</w:t>
      </w:r>
      <w:r w:rsidR="00575018">
        <w:t>, following the movements identified below,</w:t>
      </w:r>
      <w:r w:rsidR="00575018" w:rsidRPr="00575018">
        <w:t xml:space="preserve"> </w:t>
      </w:r>
      <w:r w:rsidR="00575018" w:rsidRPr="00835A18">
        <w:t>is £1</w:t>
      </w:r>
      <w:r w:rsidR="00DC7242">
        <w:t>4,039</w:t>
      </w:r>
      <w:r w:rsidR="00575018" w:rsidRPr="00835A18">
        <w:t>k</w:t>
      </w:r>
      <w:r w:rsidR="00575018">
        <w:t>, t</w:t>
      </w:r>
      <w:r w:rsidR="00575018" w:rsidRPr="00750DD9">
        <w:t>he minimum general reserve position of 3.5% of the net revenue expenditure</w:t>
      </w:r>
      <w:r w:rsidR="002536D5">
        <w:t>.</w:t>
      </w:r>
    </w:p>
    <w:p w:rsidR="008F25D4" w:rsidRPr="00911FA6" w:rsidRDefault="008F25D4" w:rsidP="00930B48">
      <w:pPr>
        <w:spacing w:after="0" w:line="240" w:lineRule="auto"/>
      </w:pPr>
      <w:r w:rsidRPr="00911FA6">
        <w:rPr>
          <w:b/>
        </w:rPr>
        <w:t>Table 2. Position on Reserves</w:t>
      </w:r>
    </w:p>
    <w:tbl>
      <w:tblPr>
        <w:tblW w:w="5120" w:type="pct"/>
        <w:jc w:val="center"/>
        <w:tblLook w:val="04A0" w:firstRow="1" w:lastRow="0" w:firstColumn="1" w:lastColumn="0" w:noHBand="0" w:noVBand="1"/>
      </w:tblPr>
      <w:tblGrid>
        <w:gridCol w:w="1610"/>
        <w:gridCol w:w="1168"/>
        <w:gridCol w:w="1267"/>
        <w:gridCol w:w="1413"/>
        <w:gridCol w:w="1008"/>
        <w:gridCol w:w="1172"/>
        <w:gridCol w:w="1163"/>
        <w:gridCol w:w="1353"/>
      </w:tblGrid>
      <w:tr w:rsidR="004F70AE" w:rsidRPr="00657D70" w:rsidTr="00D559A2">
        <w:trPr>
          <w:trHeight w:val="855"/>
          <w:tblHeader/>
          <w:jc w:val="center"/>
        </w:trPr>
        <w:tc>
          <w:tcPr>
            <w:tcW w:w="78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F70AE" w:rsidRPr="00657D70" w:rsidRDefault="004F70AE" w:rsidP="00E768CB">
            <w:pPr>
              <w:spacing w:before="20" w:after="20" w:line="240" w:lineRule="auto"/>
              <w:jc w:val="center"/>
              <w:rPr>
                <w:sz w:val="22"/>
                <w:szCs w:val="22"/>
              </w:rPr>
            </w:pPr>
            <w:r w:rsidRPr="00657D70">
              <w:rPr>
                <w:sz w:val="22"/>
                <w:szCs w:val="22"/>
              </w:rPr>
              <w:t>£000s</w:t>
            </w:r>
          </w:p>
        </w:tc>
        <w:tc>
          <w:tcPr>
            <w:tcW w:w="567" w:type="pct"/>
            <w:tcBorders>
              <w:top w:val="single" w:sz="4" w:space="0" w:color="auto"/>
              <w:left w:val="nil"/>
              <w:bottom w:val="single" w:sz="4" w:space="0" w:color="auto"/>
              <w:right w:val="single" w:sz="4" w:space="0" w:color="auto"/>
            </w:tcBorders>
            <w:shd w:val="clear" w:color="000000" w:fill="C0C0C0"/>
            <w:vAlign w:val="bottom"/>
            <w:hideMark/>
          </w:tcPr>
          <w:p w:rsidR="004F70AE" w:rsidRPr="00657D70" w:rsidRDefault="004F70AE" w:rsidP="00E768CB">
            <w:pPr>
              <w:spacing w:before="20" w:after="20" w:line="240" w:lineRule="auto"/>
              <w:jc w:val="center"/>
              <w:rPr>
                <w:b/>
                <w:bCs/>
                <w:sz w:val="22"/>
                <w:szCs w:val="22"/>
              </w:rPr>
            </w:pPr>
            <w:r w:rsidRPr="00657D70">
              <w:rPr>
                <w:b/>
                <w:bCs/>
                <w:sz w:val="22"/>
                <w:szCs w:val="22"/>
              </w:rPr>
              <w:t>Opening Balance at 01/04/17</w:t>
            </w:r>
          </w:p>
        </w:tc>
        <w:tc>
          <w:tcPr>
            <w:tcW w:w="731" w:type="pct"/>
            <w:tcBorders>
              <w:top w:val="single" w:sz="4" w:space="0" w:color="auto"/>
              <w:left w:val="nil"/>
              <w:bottom w:val="single" w:sz="4" w:space="0" w:color="auto"/>
              <w:right w:val="single" w:sz="4" w:space="0" w:color="auto"/>
            </w:tcBorders>
            <w:shd w:val="clear" w:color="auto" w:fill="auto"/>
            <w:vAlign w:val="bottom"/>
            <w:hideMark/>
          </w:tcPr>
          <w:p w:rsidR="004F70AE" w:rsidRPr="00657D70" w:rsidRDefault="004F70AE" w:rsidP="00E768CB">
            <w:pPr>
              <w:spacing w:before="20" w:after="20" w:line="240" w:lineRule="auto"/>
              <w:jc w:val="center"/>
              <w:rPr>
                <w:sz w:val="22"/>
                <w:szCs w:val="22"/>
              </w:rPr>
            </w:pPr>
            <w:r w:rsidRPr="00657D70">
              <w:rPr>
                <w:sz w:val="22"/>
                <w:szCs w:val="22"/>
              </w:rPr>
              <w:t>Approved Movements</w:t>
            </w:r>
          </w:p>
        </w:tc>
        <w:tc>
          <w:tcPr>
            <w:tcW w:w="685" w:type="pct"/>
            <w:tcBorders>
              <w:top w:val="single" w:sz="4" w:space="0" w:color="auto"/>
              <w:left w:val="nil"/>
              <w:bottom w:val="single" w:sz="4" w:space="0" w:color="auto"/>
              <w:right w:val="single" w:sz="4" w:space="0" w:color="auto"/>
            </w:tcBorders>
            <w:shd w:val="clear" w:color="auto" w:fill="auto"/>
            <w:vAlign w:val="bottom"/>
            <w:hideMark/>
          </w:tcPr>
          <w:p w:rsidR="004F70AE" w:rsidRPr="00657D70" w:rsidRDefault="004F70AE" w:rsidP="00E768CB">
            <w:pPr>
              <w:spacing w:before="20" w:after="20" w:line="240" w:lineRule="auto"/>
              <w:jc w:val="center"/>
              <w:rPr>
                <w:sz w:val="22"/>
                <w:szCs w:val="22"/>
              </w:rPr>
            </w:pPr>
            <w:r w:rsidRPr="00657D70">
              <w:rPr>
                <w:sz w:val="22"/>
                <w:szCs w:val="22"/>
              </w:rPr>
              <w:t>Underspend/ (Overspend) in 2017/18</w:t>
            </w:r>
          </w:p>
        </w:tc>
        <w:tc>
          <w:tcPr>
            <w:tcW w:w="490" w:type="pct"/>
            <w:tcBorders>
              <w:top w:val="single" w:sz="4" w:space="0" w:color="auto"/>
              <w:left w:val="nil"/>
              <w:bottom w:val="single" w:sz="4" w:space="0" w:color="auto"/>
              <w:right w:val="single" w:sz="4" w:space="0" w:color="auto"/>
            </w:tcBorders>
            <w:shd w:val="clear" w:color="auto" w:fill="auto"/>
            <w:vAlign w:val="bottom"/>
            <w:hideMark/>
          </w:tcPr>
          <w:p w:rsidR="004F70AE" w:rsidRPr="00657D70" w:rsidRDefault="004F70AE" w:rsidP="00E768CB">
            <w:pPr>
              <w:spacing w:before="20" w:after="20" w:line="240" w:lineRule="auto"/>
              <w:jc w:val="center"/>
              <w:rPr>
                <w:sz w:val="22"/>
                <w:szCs w:val="22"/>
              </w:rPr>
            </w:pPr>
            <w:r w:rsidRPr="00657D70">
              <w:rPr>
                <w:sz w:val="22"/>
                <w:szCs w:val="22"/>
              </w:rPr>
              <w:t>Use of Reserves in 2017/18</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D559A2" w:rsidRDefault="004F70AE" w:rsidP="00E768CB">
            <w:pPr>
              <w:spacing w:before="20" w:after="20" w:line="240" w:lineRule="auto"/>
              <w:jc w:val="center"/>
              <w:rPr>
                <w:b/>
                <w:sz w:val="22"/>
                <w:szCs w:val="22"/>
              </w:rPr>
            </w:pPr>
            <w:r w:rsidRPr="00D559A2">
              <w:rPr>
                <w:b/>
                <w:sz w:val="22"/>
                <w:szCs w:val="22"/>
              </w:rPr>
              <w:t>Total Balance as at 31/03/18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F70AE" w:rsidRPr="00657D70" w:rsidRDefault="004F70AE" w:rsidP="00E768CB">
            <w:pPr>
              <w:spacing w:before="20" w:after="20" w:line="240" w:lineRule="auto"/>
              <w:jc w:val="center"/>
              <w:rPr>
                <w:sz w:val="22"/>
                <w:szCs w:val="22"/>
              </w:rPr>
            </w:pPr>
            <w:r w:rsidRPr="00657D70">
              <w:rPr>
                <w:sz w:val="22"/>
                <w:szCs w:val="22"/>
              </w:rPr>
              <w:t>New Payments/ Transfers</w:t>
            </w:r>
          </w:p>
        </w:tc>
        <w:tc>
          <w:tcPr>
            <w:tcW w:w="665" w:type="pct"/>
            <w:tcBorders>
              <w:top w:val="single" w:sz="4" w:space="0" w:color="auto"/>
              <w:left w:val="nil"/>
              <w:bottom w:val="single" w:sz="4" w:space="0" w:color="auto"/>
              <w:right w:val="single" w:sz="4" w:space="0" w:color="auto"/>
            </w:tcBorders>
            <w:shd w:val="clear" w:color="000000" w:fill="C0C0C0"/>
            <w:vAlign w:val="bottom"/>
            <w:hideMark/>
          </w:tcPr>
          <w:p w:rsidR="004F70AE" w:rsidRPr="00657D70" w:rsidRDefault="004F70AE" w:rsidP="00E768CB">
            <w:pPr>
              <w:spacing w:before="20" w:after="20" w:line="240" w:lineRule="auto"/>
              <w:jc w:val="center"/>
              <w:rPr>
                <w:b/>
                <w:bCs/>
                <w:sz w:val="22"/>
                <w:szCs w:val="22"/>
              </w:rPr>
            </w:pPr>
            <w:r w:rsidRPr="00657D70">
              <w:rPr>
                <w:b/>
                <w:bCs/>
                <w:sz w:val="22"/>
                <w:szCs w:val="22"/>
              </w:rPr>
              <w:t xml:space="preserve">Anticipated Balance at </w:t>
            </w:r>
            <w:r w:rsidR="00C77E0B">
              <w:rPr>
                <w:b/>
                <w:bCs/>
                <w:sz w:val="22"/>
                <w:szCs w:val="22"/>
              </w:rPr>
              <w:t>01</w:t>
            </w:r>
            <w:r w:rsidRPr="00657D70">
              <w:rPr>
                <w:b/>
                <w:bCs/>
                <w:sz w:val="22"/>
                <w:szCs w:val="22"/>
              </w:rPr>
              <w:t>/0</w:t>
            </w:r>
            <w:r w:rsidR="00C77E0B">
              <w:rPr>
                <w:b/>
                <w:bCs/>
                <w:sz w:val="22"/>
                <w:szCs w:val="22"/>
              </w:rPr>
              <w:t>4</w:t>
            </w:r>
            <w:r w:rsidRPr="00657D70">
              <w:rPr>
                <w:b/>
                <w:bCs/>
                <w:sz w:val="22"/>
                <w:szCs w:val="22"/>
              </w:rPr>
              <w:t>/18</w:t>
            </w:r>
          </w:p>
        </w:tc>
      </w:tr>
      <w:tr w:rsidR="004F70AE" w:rsidRPr="00657D70" w:rsidTr="00D559A2">
        <w:trPr>
          <w:trHeight w:val="510"/>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Additional Resilience Requirements</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0</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sz w:val="20"/>
                <w:szCs w:val="20"/>
              </w:rPr>
              <w:t>6,757</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sz w:val="20"/>
                <w:szCs w:val="20"/>
              </w:rPr>
              <w:t>(1,984)</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661060" w:rsidRPr="00D559A2" w:rsidRDefault="00661060" w:rsidP="00C77E0B">
            <w:pPr>
              <w:spacing w:before="20" w:after="20" w:line="240" w:lineRule="auto"/>
              <w:jc w:val="right"/>
              <w:rPr>
                <w:b/>
                <w:sz w:val="20"/>
                <w:szCs w:val="20"/>
              </w:rPr>
            </w:pPr>
          </w:p>
          <w:p w:rsidR="004F70AE" w:rsidRPr="00D559A2" w:rsidRDefault="004F70AE" w:rsidP="00C77E0B">
            <w:pPr>
              <w:spacing w:before="20" w:after="20" w:line="240" w:lineRule="auto"/>
              <w:jc w:val="right"/>
              <w:rPr>
                <w:b/>
                <w:sz w:val="20"/>
                <w:szCs w:val="20"/>
              </w:rPr>
            </w:pPr>
            <w:r w:rsidRPr="00D559A2">
              <w:rPr>
                <w:b/>
                <w:sz w:val="20"/>
                <w:szCs w:val="20"/>
              </w:rPr>
              <w:t>4,</w:t>
            </w:r>
            <w:r w:rsidR="00661060" w:rsidRPr="00D559A2">
              <w:rPr>
                <w:b/>
                <w:sz w:val="20"/>
                <w:szCs w:val="20"/>
              </w:rPr>
              <w:t>773</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4,773</w:t>
            </w:r>
          </w:p>
        </w:tc>
      </w:tr>
      <w:tr w:rsidR="004F70AE" w:rsidRPr="00657D70" w:rsidTr="00D559A2">
        <w:trPr>
          <w:trHeight w:val="1132"/>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 xml:space="preserve">Community Safety Investment Fund </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602</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sz w:val="20"/>
                <w:szCs w:val="20"/>
              </w:rPr>
              <w:t>(501)</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D559A2" w:rsidRDefault="004F70AE" w:rsidP="00E768CB">
            <w:pPr>
              <w:spacing w:before="20" w:after="20" w:line="240" w:lineRule="auto"/>
              <w:jc w:val="right"/>
              <w:rPr>
                <w:b/>
                <w:sz w:val="20"/>
                <w:szCs w:val="20"/>
              </w:rPr>
            </w:pPr>
          </w:p>
          <w:p w:rsidR="00661060" w:rsidRPr="00D559A2" w:rsidRDefault="00661060" w:rsidP="00E768CB">
            <w:pPr>
              <w:spacing w:before="20" w:after="20" w:line="240" w:lineRule="auto"/>
              <w:jc w:val="right"/>
              <w:rPr>
                <w:b/>
                <w:sz w:val="20"/>
                <w:szCs w:val="20"/>
              </w:rPr>
            </w:pPr>
          </w:p>
          <w:p w:rsidR="00661060" w:rsidRPr="00D559A2" w:rsidRDefault="00661060" w:rsidP="00E768CB">
            <w:pPr>
              <w:spacing w:before="20" w:after="20" w:line="240" w:lineRule="auto"/>
              <w:jc w:val="right"/>
              <w:rPr>
                <w:b/>
                <w:sz w:val="20"/>
                <w:szCs w:val="20"/>
              </w:rPr>
            </w:pPr>
            <w:r w:rsidRPr="00D559A2">
              <w:rPr>
                <w:b/>
                <w:sz w:val="20"/>
                <w:szCs w:val="20"/>
              </w:rPr>
              <w:t>101</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101</w:t>
            </w:r>
          </w:p>
        </w:tc>
      </w:tr>
      <w:tr w:rsidR="004F70AE" w:rsidRPr="00657D70" w:rsidTr="00D559A2">
        <w:trPr>
          <w:trHeight w:val="70"/>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Compensation</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1,000</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0</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D559A2" w:rsidRDefault="00661060" w:rsidP="00E768CB">
            <w:pPr>
              <w:spacing w:before="20" w:after="20" w:line="240" w:lineRule="auto"/>
              <w:jc w:val="right"/>
              <w:rPr>
                <w:b/>
                <w:sz w:val="20"/>
                <w:szCs w:val="20"/>
              </w:rPr>
            </w:pPr>
            <w:r w:rsidRPr="00D559A2">
              <w:rPr>
                <w:b/>
                <w:sz w:val="20"/>
                <w:szCs w:val="20"/>
              </w:rPr>
              <w:t>1,000</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1,000</w:t>
            </w:r>
          </w:p>
        </w:tc>
      </w:tr>
      <w:tr w:rsidR="004F70AE" w:rsidRPr="00657D70" w:rsidTr="00D559A2">
        <w:trPr>
          <w:trHeight w:val="255"/>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Emergency Services Mobile Communication Programme</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356</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sz w:val="20"/>
                <w:szCs w:val="20"/>
              </w:rPr>
              <w:t>(178)</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D559A2" w:rsidRDefault="004F70AE" w:rsidP="00E768CB">
            <w:pPr>
              <w:spacing w:before="20" w:after="20" w:line="240" w:lineRule="auto"/>
              <w:jc w:val="right"/>
              <w:rPr>
                <w:b/>
                <w:sz w:val="20"/>
                <w:szCs w:val="20"/>
              </w:rPr>
            </w:pPr>
          </w:p>
          <w:p w:rsidR="00661060" w:rsidRPr="00D559A2" w:rsidRDefault="00661060" w:rsidP="00E768CB">
            <w:pPr>
              <w:spacing w:before="20" w:after="20" w:line="240" w:lineRule="auto"/>
              <w:jc w:val="right"/>
              <w:rPr>
                <w:b/>
                <w:sz w:val="20"/>
                <w:szCs w:val="20"/>
              </w:rPr>
            </w:pPr>
          </w:p>
          <w:p w:rsidR="00661060" w:rsidRPr="00D559A2" w:rsidRDefault="00661060" w:rsidP="00E768CB">
            <w:pPr>
              <w:spacing w:before="20" w:after="20" w:line="240" w:lineRule="auto"/>
              <w:jc w:val="right"/>
              <w:rPr>
                <w:b/>
                <w:sz w:val="20"/>
                <w:szCs w:val="20"/>
              </w:rPr>
            </w:pPr>
            <w:r w:rsidRPr="00D559A2">
              <w:rPr>
                <w:b/>
                <w:sz w:val="20"/>
                <w:szCs w:val="20"/>
              </w:rPr>
              <w:t>178</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178</w:t>
            </w:r>
          </w:p>
        </w:tc>
      </w:tr>
      <w:tr w:rsidR="004F70AE" w:rsidRPr="00657D70" w:rsidTr="00D559A2">
        <w:trPr>
          <w:trHeight w:val="255"/>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487D6C">
            <w:pPr>
              <w:spacing w:before="20" w:after="20" w:line="240" w:lineRule="auto"/>
              <w:rPr>
                <w:sz w:val="22"/>
                <w:szCs w:val="22"/>
              </w:rPr>
            </w:pPr>
            <w:r w:rsidRPr="00657D70">
              <w:rPr>
                <w:sz w:val="22"/>
                <w:szCs w:val="22"/>
              </w:rPr>
              <w:t>Emergency Medical Response</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487D6C">
            <w:pPr>
              <w:spacing w:before="20" w:after="20" w:line="240" w:lineRule="auto"/>
              <w:jc w:val="right"/>
              <w:rPr>
                <w:b/>
                <w:bCs/>
                <w:sz w:val="22"/>
                <w:szCs w:val="22"/>
                <w:highlight w:val="yellow"/>
              </w:rPr>
            </w:pPr>
            <w:r>
              <w:rPr>
                <w:b/>
                <w:bCs/>
                <w:sz w:val="20"/>
                <w:szCs w:val="20"/>
              </w:rPr>
              <w:t>0</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487D6C">
            <w:pPr>
              <w:spacing w:before="20" w:after="20" w:line="240" w:lineRule="auto"/>
              <w:jc w:val="right"/>
              <w:rPr>
                <w:sz w:val="22"/>
                <w:szCs w:val="22"/>
                <w:highlight w:val="yellow"/>
              </w:rPr>
            </w:pPr>
            <w:r>
              <w:rPr>
                <w:sz w:val="20"/>
                <w:szCs w:val="20"/>
              </w:rPr>
              <w:t>830</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487D6C">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487D6C">
            <w:pPr>
              <w:spacing w:before="20" w:after="20" w:line="240" w:lineRule="auto"/>
              <w:jc w:val="right"/>
              <w:rPr>
                <w:sz w:val="22"/>
                <w:szCs w:val="22"/>
                <w:highlight w:val="yellow"/>
              </w:rPr>
            </w:pPr>
            <w:r>
              <w:rPr>
                <w:color w:val="FFFFFF"/>
                <w:sz w:val="20"/>
                <w:szCs w:val="20"/>
              </w:rPr>
              <w:t>0</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8F23B8" w:rsidRDefault="004F70AE" w:rsidP="00487D6C">
            <w:pPr>
              <w:spacing w:before="20" w:after="20" w:line="240" w:lineRule="auto"/>
              <w:jc w:val="right"/>
              <w:rPr>
                <w:b/>
                <w:sz w:val="20"/>
                <w:szCs w:val="20"/>
              </w:rPr>
            </w:pPr>
          </w:p>
          <w:p w:rsidR="00661060" w:rsidRPr="008F23B8" w:rsidRDefault="00661060" w:rsidP="00487D6C">
            <w:pPr>
              <w:spacing w:before="20" w:after="20" w:line="240" w:lineRule="auto"/>
              <w:jc w:val="right"/>
              <w:rPr>
                <w:b/>
                <w:sz w:val="20"/>
                <w:szCs w:val="20"/>
              </w:rPr>
            </w:pPr>
            <w:r w:rsidRPr="008F23B8">
              <w:rPr>
                <w:b/>
                <w:sz w:val="20"/>
                <w:szCs w:val="20"/>
              </w:rPr>
              <w:t>830</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487D6C">
            <w:pPr>
              <w:spacing w:before="20" w:after="20" w:line="240" w:lineRule="auto"/>
              <w:jc w:val="right"/>
              <w:rPr>
                <w:sz w:val="22"/>
                <w:szCs w:val="22"/>
                <w:highlight w:val="yellow"/>
              </w:rPr>
            </w:pPr>
            <w:r>
              <w:rPr>
                <w:color w:val="FFFFFF"/>
                <w:sz w:val="20"/>
                <w:szCs w:val="20"/>
              </w:rPr>
              <w:t> </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487D6C">
            <w:pPr>
              <w:spacing w:before="20" w:after="20" w:line="240" w:lineRule="auto"/>
              <w:jc w:val="right"/>
              <w:rPr>
                <w:b/>
                <w:bCs/>
                <w:sz w:val="22"/>
                <w:szCs w:val="22"/>
                <w:highlight w:val="yellow"/>
              </w:rPr>
            </w:pPr>
            <w:r>
              <w:rPr>
                <w:b/>
                <w:bCs/>
                <w:sz w:val="20"/>
                <w:szCs w:val="20"/>
              </w:rPr>
              <w:t>830</w:t>
            </w:r>
          </w:p>
        </w:tc>
      </w:tr>
      <w:tr w:rsidR="004F70AE" w:rsidRPr="00657D70" w:rsidTr="00D559A2">
        <w:trPr>
          <w:trHeight w:val="643"/>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Firefighters' Pension</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1,172</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0</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661060" w:rsidRPr="008F23B8" w:rsidRDefault="00661060" w:rsidP="00E768CB">
            <w:pPr>
              <w:spacing w:before="20" w:after="20" w:line="240" w:lineRule="auto"/>
              <w:jc w:val="right"/>
              <w:rPr>
                <w:b/>
                <w:sz w:val="20"/>
                <w:szCs w:val="20"/>
              </w:rPr>
            </w:pPr>
          </w:p>
          <w:p w:rsidR="00661060" w:rsidRPr="008F23B8" w:rsidRDefault="00661060" w:rsidP="00E768CB">
            <w:pPr>
              <w:spacing w:before="20" w:after="20" w:line="240" w:lineRule="auto"/>
              <w:jc w:val="right"/>
              <w:rPr>
                <w:b/>
                <w:sz w:val="20"/>
                <w:szCs w:val="20"/>
              </w:rPr>
            </w:pPr>
            <w:r w:rsidRPr="008F23B8">
              <w:rPr>
                <w:b/>
                <w:sz w:val="20"/>
                <w:szCs w:val="20"/>
              </w:rPr>
              <w:t>1,172</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1,172</w:t>
            </w:r>
          </w:p>
        </w:tc>
      </w:tr>
      <w:tr w:rsidR="004F70AE" w:rsidRPr="00657D70" w:rsidTr="00D559A2">
        <w:trPr>
          <w:trHeight w:val="510"/>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Fire Safety and Youth Engagement</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338</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sz w:val="20"/>
                <w:szCs w:val="20"/>
              </w:rPr>
              <w:t>570</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8F23B8" w:rsidRDefault="004F70AE" w:rsidP="00E768CB">
            <w:pPr>
              <w:spacing w:before="20" w:after="20" w:line="240" w:lineRule="auto"/>
              <w:jc w:val="right"/>
              <w:rPr>
                <w:b/>
                <w:sz w:val="20"/>
                <w:szCs w:val="20"/>
              </w:rPr>
            </w:pPr>
          </w:p>
          <w:p w:rsidR="00661060" w:rsidRPr="008F23B8" w:rsidRDefault="00661060" w:rsidP="00E768CB">
            <w:pPr>
              <w:spacing w:before="20" w:after="20" w:line="240" w:lineRule="auto"/>
              <w:jc w:val="right"/>
              <w:rPr>
                <w:b/>
                <w:sz w:val="20"/>
                <w:szCs w:val="20"/>
              </w:rPr>
            </w:pPr>
            <w:r w:rsidRPr="008F23B8">
              <w:rPr>
                <w:b/>
                <w:sz w:val="20"/>
                <w:szCs w:val="20"/>
              </w:rPr>
              <w:t>909</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909</w:t>
            </w:r>
          </w:p>
        </w:tc>
      </w:tr>
      <w:tr w:rsidR="004F70AE" w:rsidRPr="00657D70" w:rsidTr="00D559A2">
        <w:trPr>
          <w:trHeight w:val="255"/>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Hazardous Material Protection</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203</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sz w:val="20"/>
                <w:szCs w:val="20"/>
              </w:rPr>
              <w:t>(185)</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8F23B8" w:rsidRDefault="004F70AE" w:rsidP="00E768CB">
            <w:pPr>
              <w:spacing w:before="20" w:after="20" w:line="240" w:lineRule="auto"/>
              <w:jc w:val="right"/>
              <w:rPr>
                <w:b/>
                <w:sz w:val="20"/>
                <w:szCs w:val="20"/>
              </w:rPr>
            </w:pPr>
          </w:p>
          <w:p w:rsidR="00661060" w:rsidRPr="008F23B8" w:rsidRDefault="00661060" w:rsidP="00E768CB">
            <w:pPr>
              <w:spacing w:before="20" w:after="20" w:line="240" w:lineRule="auto"/>
              <w:jc w:val="right"/>
              <w:rPr>
                <w:b/>
                <w:sz w:val="20"/>
                <w:szCs w:val="20"/>
              </w:rPr>
            </w:pPr>
            <w:r w:rsidRPr="008F23B8">
              <w:rPr>
                <w:b/>
                <w:sz w:val="20"/>
                <w:szCs w:val="20"/>
              </w:rPr>
              <w:t>18</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18</w:t>
            </w:r>
          </w:p>
        </w:tc>
      </w:tr>
      <w:tr w:rsidR="004F70AE" w:rsidRPr="00657D70" w:rsidTr="00D559A2">
        <w:trPr>
          <w:trHeight w:val="255"/>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 xml:space="preserve">HMICFRS inspection regime </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0</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0</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8F23B8" w:rsidRDefault="004F70AE" w:rsidP="00E768CB">
            <w:pPr>
              <w:spacing w:before="20" w:after="20" w:line="240" w:lineRule="auto"/>
              <w:jc w:val="right"/>
              <w:rPr>
                <w:b/>
                <w:sz w:val="20"/>
                <w:szCs w:val="20"/>
              </w:rPr>
            </w:pPr>
          </w:p>
          <w:p w:rsidR="00661060" w:rsidRPr="008F23B8" w:rsidRDefault="00661060" w:rsidP="00E768CB">
            <w:pPr>
              <w:spacing w:before="20" w:after="20" w:line="240" w:lineRule="auto"/>
              <w:jc w:val="right"/>
              <w:rPr>
                <w:b/>
                <w:sz w:val="20"/>
                <w:szCs w:val="20"/>
              </w:rPr>
            </w:pPr>
            <w:r w:rsidRPr="008F23B8">
              <w:rPr>
                <w:b/>
                <w:sz w:val="20"/>
                <w:szCs w:val="20"/>
              </w:rPr>
              <w:t>0</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sz w:val="20"/>
                <w:szCs w:val="20"/>
              </w:rPr>
              <w:t>149</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149</w:t>
            </w:r>
          </w:p>
        </w:tc>
      </w:tr>
      <w:tr w:rsidR="004F70AE" w:rsidRPr="00657D70" w:rsidTr="00D559A2">
        <w:trPr>
          <w:trHeight w:val="255"/>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Hydrants</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462</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0</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8F23B8" w:rsidRDefault="00661060" w:rsidP="00E768CB">
            <w:pPr>
              <w:spacing w:before="20" w:after="20" w:line="240" w:lineRule="auto"/>
              <w:jc w:val="right"/>
              <w:rPr>
                <w:b/>
                <w:sz w:val="20"/>
                <w:szCs w:val="20"/>
              </w:rPr>
            </w:pPr>
            <w:r w:rsidRPr="008F23B8">
              <w:rPr>
                <w:b/>
                <w:sz w:val="20"/>
                <w:szCs w:val="20"/>
              </w:rPr>
              <w:t>462</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462</w:t>
            </w:r>
          </w:p>
        </w:tc>
      </w:tr>
      <w:tr w:rsidR="004F70AE" w:rsidRPr="00657D70" w:rsidTr="00D559A2">
        <w:trPr>
          <w:trHeight w:val="255"/>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ICT Development Reserve</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668</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sz w:val="20"/>
                <w:szCs w:val="20"/>
              </w:rPr>
              <w:t>642</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8F23B8" w:rsidRDefault="004F70AE" w:rsidP="00E768CB">
            <w:pPr>
              <w:spacing w:before="20" w:after="20" w:line="240" w:lineRule="auto"/>
              <w:jc w:val="right"/>
              <w:rPr>
                <w:b/>
                <w:sz w:val="20"/>
                <w:szCs w:val="20"/>
              </w:rPr>
            </w:pPr>
          </w:p>
          <w:p w:rsidR="00661060" w:rsidRPr="008F23B8" w:rsidRDefault="00661060" w:rsidP="00E768CB">
            <w:pPr>
              <w:spacing w:before="20" w:after="20" w:line="240" w:lineRule="auto"/>
              <w:jc w:val="right"/>
              <w:rPr>
                <w:b/>
                <w:sz w:val="20"/>
                <w:szCs w:val="20"/>
              </w:rPr>
            </w:pPr>
            <w:r w:rsidRPr="008F23B8">
              <w:rPr>
                <w:b/>
                <w:sz w:val="20"/>
                <w:szCs w:val="20"/>
              </w:rPr>
              <w:t>1,310</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sz w:val="20"/>
                <w:szCs w:val="20"/>
              </w:rPr>
              <w:t>600</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1,910</w:t>
            </w:r>
          </w:p>
        </w:tc>
      </w:tr>
      <w:tr w:rsidR="004F70AE" w:rsidRPr="00657D70" w:rsidTr="00D559A2">
        <w:trPr>
          <w:trHeight w:val="775"/>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London Resilience</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1,281</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sz w:val="20"/>
                <w:szCs w:val="20"/>
              </w:rPr>
              <w:t>970</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8F23B8" w:rsidRDefault="004F70AE" w:rsidP="00E768CB">
            <w:pPr>
              <w:spacing w:before="20" w:after="20" w:line="240" w:lineRule="auto"/>
              <w:jc w:val="right"/>
              <w:rPr>
                <w:b/>
                <w:sz w:val="20"/>
                <w:szCs w:val="20"/>
              </w:rPr>
            </w:pPr>
          </w:p>
          <w:p w:rsidR="00661060" w:rsidRPr="008F23B8" w:rsidRDefault="00661060" w:rsidP="00E768CB">
            <w:pPr>
              <w:spacing w:before="20" w:after="20" w:line="240" w:lineRule="auto"/>
              <w:jc w:val="right"/>
              <w:rPr>
                <w:b/>
                <w:sz w:val="20"/>
                <w:szCs w:val="20"/>
              </w:rPr>
            </w:pPr>
            <w:r w:rsidRPr="008F23B8">
              <w:rPr>
                <w:b/>
                <w:sz w:val="20"/>
                <w:szCs w:val="20"/>
              </w:rPr>
              <w:t>2,250</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2,250</w:t>
            </w:r>
          </w:p>
        </w:tc>
      </w:tr>
      <w:tr w:rsidR="004F70AE" w:rsidRPr="00657D70" w:rsidTr="00D559A2">
        <w:trPr>
          <w:trHeight w:val="701"/>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LSP2017 Implementation</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5,000</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sz w:val="20"/>
                <w:szCs w:val="20"/>
              </w:rPr>
              <w:t>(365)</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8F23B8" w:rsidRDefault="004F70AE" w:rsidP="00E768CB">
            <w:pPr>
              <w:spacing w:before="20" w:after="20" w:line="240" w:lineRule="auto"/>
              <w:jc w:val="right"/>
              <w:rPr>
                <w:b/>
                <w:sz w:val="20"/>
                <w:szCs w:val="20"/>
              </w:rPr>
            </w:pPr>
          </w:p>
          <w:p w:rsidR="00661060" w:rsidRPr="008F23B8" w:rsidRDefault="00661060" w:rsidP="00E768CB">
            <w:pPr>
              <w:spacing w:before="20" w:after="20" w:line="240" w:lineRule="auto"/>
              <w:jc w:val="right"/>
              <w:rPr>
                <w:b/>
                <w:sz w:val="20"/>
                <w:szCs w:val="20"/>
              </w:rPr>
            </w:pPr>
            <w:r w:rsidRPr="008F23B8">
              <w:rPr>
                <w:b/>
                <w:sz w:val="20"/>
                <w:szCs w:val="20"/>
              </w:rPr>
              <w:t>4,635</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4,635</w:t>
            </w:r>
          </w:p>
        </w:tc>
      </w:tr>
      <w:tr w:rsidR="004F70AE" w:rsidRPr="00657D70" w:rsidTr="00D559A2">
        <w:trPr>
          <w:trHeight w:val="255"/>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New Governance Arrangements</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100</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sz w:val="20"/>
                <w:szCs w:val="20"/>
              </w:rPr>
              <w:t>200</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0</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8F23B8" w:rsidRDefault="004F70AE" w:rsidP="00E768CB">
            <w:pPr>
              <w:spacing w:before="20" w:after="20" w:line="240" w:lineRule="auto"/>
              <w:jc w:val="right"/>
              <w:rPr>
                <w:b/>
                <w:sz w:val="20"/>
                <w:szCs w:val="20"/>
              </w:rPr>
            </w:pPr>
          </w:p>
          <w:p w:rsidR="00661060" w:rsidRPr="008F23B8" w:rsidRDefault="00661060" w:rsidP="00E768CB">
            <w:pPr>
              <w:spacing w:before="20" w:after="20" w:line="240" w:lineRule="auto"/>
              <w:jc w:val="right"/>
              <w:rPr>
                <w:b/>
                <w:sz w:val="20"/>
                <w:szCs w:val="20"/>
              </w:rPr>
            </w:pPr>
            <w:r w:rsidRPr="008F23B8">
              <w:rPr>
                <w:b/>
                <w:sz w:val="20"/>
                <w:szCs w:val="20"/>
              </w:rPr>
              <w:t>300</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300</w:t>
            </w:r>
          </w:p>
        </w:tc>
      </w:tr>
      <w:tr w:rsidR="004F70AE" w:rsidRPr="00657D70" w:rsidTr="00D559A2">
        <w:trPr>
          <w:trHeight w:val="609"/>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Pension Early Release Costs</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400</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0</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661060" w:rsidRPr="008F23B8" w:rsidRDefault="00661060" w:rsidP="00E768CB">
            <w:pPr>
              <w:spacing w:before="20" w:after="20" w:line="240" w:lineRule="auto"/>
              <w:jc w:val="right"/>
              <w:rPr>
                <w:b/>
                <w:sz w:val="20"/>
                <w:szCs w:val="20"/>
              </w:rPr>
            </w:pPr>
          </w:p>
          <w:p w:rsidR="00661060" w:rsidRPr="008F23B8" w:rsidRDefault="00661060" w:rsidP="00E768CB">
            <w:pPr>
              <w:spacing w:before="20" w:after="20" w:line="240" w:lineRule="auto"/>
              <w:jc w:val="right"/>
              <w:rPr>
                <w:b/>
                <w:sz w:val="20"/>
                <w:szCs w:val="20"/>
              </w:rPr>
            </w:pPr>
            <w:r w:rsidRPr="008F23B8">
              <w:rPr>
                <w:b/>
                <w:sz w:val="20"/>
                <w:szCs w:val="20"/>
              </w:rPr>
              <w:t>400</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400</w:t>
            </w:r>
          </w:p>
        </w:tc>
      </w:tr>
      <w:tr w:rsidR="004F70AE" w:rsidRPr="00657D70" w:rsidTr="00D559A2">
        <w:trPr>
          <w:trHeight w:val="278"/>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Property PFI</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1,912</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0</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8F23B8" w:rsidRDefault="00661060" w:rsidP="003774D3">
            <w:pPr>
              <w:spacing w:before="20" w:after="20" w:line="240" w:lineRule="auto"/>
              <w:jc w:val="right"/>
              <w:rPr>
                <w:b/>
                <w:sz w:val="20"/>
                <w:szCs w:val="20"/>
              </w:rPr>
            </w:pPr>
            <w:r w:rsidRPr="008F23B8">
              <w:rPr>
                <w:b/>
                <w:sz w:val="20"/>
                <w:szCs w:val="20"/>
              </w:rPr>
              <w:t>1,912</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3774D3">
            <w:pPr>
              <w:spacing w:before="20" w:after="20" w:line="240" w:lineRule="auto"/>
              <w:jc w:val="right"/>
              <w:rPr>
                <w:sz w:val="22"/>
                <w:szCs w:val="22"/>
                <w:highlight w:val="yellow"/>
              </w:rPr>
            </w:pPr>
            <w:r>
              <w:rPr>
                <w:sz w:val="20"/>
                <w:szCs w:val="20"/>
              </w:rPr>
              <w:t>(1,912)</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0</w:t>
            </w:r>
          </w:p>
        </w:tc>
      </w:tr>
      <w:tr w:rsidR="004F70AE" w:rsidRPr="00657D70" w:rsidTr="00D559A2">
        <w:trPr>
          <w:trHeight w:val="752"/>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Recruitment/ Outreach</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600</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sz w:val="20"/>
                <w:szCs w:val="20"/>
              </w:rPr>
              <w:t>(182)</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661060" w:rsidRPr="008F23B8" w:rsidRDefault="00661060" w:rsidP="00E768CB">
            <w:pPr>
              <w:spacing w:before="20" w:after="20" w:line="240" w:lineRule="auto"/>
              <w:jc w:val="right"/>
              <w:rPr>
                <w:b/>
                <w:sz w:val="20"/>
                <w:szCs w:val="20"/>
              </w:rPr>
            </w:pPr>
          </w:p>
          <w:p w:rsidR="00661060" w:rsidRPr="008F23B8" w:rsidRDefault="00661060" w:rsidP="00E768CB">
            <w:pPr>
              <w:spacing w:before="20" w:after="20" w:line="240" w:lineRule="auto"/>
              <w:jc w:val="right"/>
              <w:rPr>
                <w:b/>
                <w:sz w:val="20"/>
                <w:szCs w:val="20"/>
              </w:rPr>
            </w:pPr>
            <w:r w:rsidRPr="008F23B8">
              <w:rPr>
                <w:b/>
                <w:sz w:val="20"/>
                <w:szCs w:val="20"/>
              </w:rPr>
              <w:t>418</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sz w:val="20"/>
                <w:szCs w:val="20"/>
              </w:rPr>
              <w:t>83</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501</w:t>
            </w:r>
          </w:p>
        </w:tc>
      </w:tr>
      <w:tr w:rsidR="004F70AE" w:rsidRPr="00657D70" w:rsidTr="00D559A2">
        <w:trPr>
          <w:trHeight w:val="255"/>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Review of Property Services</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85</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sz w:val="20"/>
                <w:szCs w:val="20"/>
              </w:rPr>
              <w:t>(85)</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0</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8F23B8" w:rsidRDefault="004F70AE" w:rsidP="00E768CB">
            <w:pPr>
              <w:spacing w:before="20" w:after="20" w:line="240" w:lineRule="auto"/>
              <w:jc w:val="right"/>
              <w:rPr>
                <w:b/>
                <w:sz w:val="20"/>
                <w:szCs w:val="20"/>
              </w:rPr>
            </w:pPr>
          </w:p>
          <w:p w:rsidR="00661060" w:rsidRPr="008F23B8" w:rsidRDefault="00661060" w:rsidP="00E768CB">
            <w:pPr>
              <w:spacing w:before="20" w:after="20" w:line="240" w:lineRule="auto"/>
              <w:jc w:val="right"/>
              <w:rPr>
                <w:b/>
                <w:sz w:val="20"/>
                <w:szCs w:val="20"/>
              </w:rPr>
            </w:pPr>
            <w:r w:rsidRPr="008F23B8">
              <w:rPr>
                <w:b/>
                <w:sz w:val="20"/>
                <w:szCs w:val="20"/>
              </w:rPr>
              <w:t>0</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0</w:t>
            </w:r>
          </w:p>
        </w:tc>
      </w:tr>
      <w:tr w:rsidR="004F70AE" w:rsidRPr="00657D70" w:rsidTr="00D559A2">
        <w:trPr>
          <w:trHeight w:val="255"/>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Sustainability</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235</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0</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8F23B8" w:rsidRDefault="00C77E0B" w:rsidP="00E768CB">
            <w:pPr>
              <w:spacing w:before="20" w:after="20" w:line="240" w:lineRule="auto"/>
              <w:jc w:val="right"/>
              <w:rPr>
                <w:b/>
                <w:sz w:val="20"/>
                <w:szCs w:val="20"/>
              </w:rPr>
            </w:pPr>
            <w:r w:rsidRPr="008F23B8">
              <w:rPr>
                <w:b/>
                <w:sz w:val="20"/>
                <w:szCs w:val="20"/>
              </w:rPr>
              <w:t>235</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235</w:t>
            </w:r>
          </w:p>
        </w:tc>
      </w:tr>
      <w:tr w:rsidR="004F70AE" w:rsidRPr="00657D70" w:rsidTr="00D559A2">
        <w:trPr>
          <w:trHeight w:val="255"/>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657D70" w:rsidRDefault="004F70AE" w:rsidP="00E768CB">
            <w:pPr>
              <w:spacing w:before="20" w:after="20" w:line="240" w:lineRule="auto"/>
              <w:rPr>
                <w:sz w:val="22"/>
                <w:szCs w:val="22"/>
              </w:rPr>
            </w:pPr>
            <w:r w:rsidRPr="00657D70">
              <w:rPr>
                <w:sz w:val="22"/>
                <w:szCs w:val="22"/>
              </w:rPr>
              <w:t>Vehicle &amp; Equipment Reserve</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1,163</w:t>
            </w:r>
          </w:p>
        </w:tc>
        <w:tc>
          <w:tcPr>
            <w:tcW w:w="731"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85"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0</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8F23B8" w:rsidRDefault="004F70AE" w:rsidP="00E768CB">
            <w:pPr>
              <w:spacing w:before="20" w:after="20" w:line="240" w:lineRule="auto"/>
              <w:jc w:val="right"/>
              <w:rPr>
                <w:b/>
                <w:sz w:val="20"/>
                <w:szCs w:val="20"/>
              </w:rPr>
            </w:pPr>
          </w:p>
          <w:p w:rsidR="00C77E0B" w:rsidRPr="008F23B8" w:rsidRDefault="00C77E0B" w:rsidP="00E768CB">
            <w:pPr>
              <w:spacing w:before="20" w:after="20" w:line="240" w:lineRule="auto"/>
              <w:jc w:val="right"/>
              <w:rPr>
                <w:b/>
                <w:sz w:val="20"/>
                <w:szCs w:val="20"/>
              </w:rPr>
            </w:pPr>
            <w:r w:rsidRPr="008F23B8">
              <w:rPr>
                <w:b/>
                <w:sz w:val="20"/>
                <w:szCs w:val="20"/>
              </w:rPr>
              <w:t>1,163</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657D70" w:rsidRDefault="004F70AE" w:rsidP="00E768CB">
            <w:pPr>
              <w:spacing w:before="20" w:after="20" w:line="240" w:lineRule="auto"/>
              <w:jc w:val="right"/>
              <w:rPr>
                <w:sz w:val="22"/>
                <w:szCs w:val="22"/>
                <w:highlight w:val="yellow"/>
              </w:rPr>
            </w:pPr>
            <w:r>
              <w:rPr>
                <w:color w:val="FFFFFF"/>
                <w:sz w:val="20"/>
                <w:szCs w:val="20"/>
              </w:rPr>
              <w:t> </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1,163</w:t>
            </w:r>
          </w:p>
        </w:tc>
      </w:tr>
      <w:tr w:rsidR="004F70AE" w:rsidRPr="00AC3F1F" w:rsidTr="00D559A2">
        <w:trPr>
          <w:trHeight w:val="255"/>
          <w:jc w:val="center"/>
        </w:trPr>
        <w:tc>
          <w:tcPr>
            <w:tcW w:w="780" w:type="pct"/>
            <w:tcBorders>
              <w:top w:val="nil"/>
              <w:left w:val="single" w:sz="4" w:space="0" w:color="auto"/>
              <w:bottom w:val="single" w:sz="4" w:space="0" w:color="auto"/>
              <w:right w:val="single" w:sz="4" w:space="0" w:color="auto"/>
            </w:tcBorders>
            <w:shd w:val="clear" w:color="auto" w:fill="auto"/>
            <w:hideMark/>
          </w:tcPr>
          <w:p w:rsidR="004F70AE" w:rsidRPr="00337FA0" w:rsidRDefault="004F70AE" w:rsidP="00E768CB">
            <w:pPr>
              <w:spacing w:before="20" w:after="20" w:line="240" w:lineRule="auto"/>
              <w:rPr>
                <w:sz w:val="22"/>
                <w:szCs w:val="22"/>
                <w:highlight w:val="yellow"/>
              </w:rPr>
            </w:pPr>
            <w:r w:rsidRPr="00835A18">
              <w:rPr>
                <w:sz w:val="22"/>
                <w:szCs w:val="22"/>
              </w:rPr>
              <w:t>Watch Structure Review</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AC3F1F" w:rsidRDefault="004F70AE" w:rsidP="00E768CB">
            <w:pPr>
              <w:spacing w:before="20" w:after="20" w:line="240" w:lineRule="auto"/>
              <w:jc w:val="right"/>
              <w:rPr>
                <w:b/>
                <w:bCs/>
                <w:sz w:val="22"/>
                <w:szCs w:val="22"/>
                <w:highlight w:val="yellow"/>
              </w:rPr>
            </w:pPr>
            <w:r>
              <w:rPr>
                <w:b/>
                <w:bCs/>
                <w:sz w:val="20"/>
                <w:szCs w:val="20"/>
              </w:rPr>
              <w:t>0</w:t>
            </w:r>
          </w:p>
        </w:tc>
        <w:tc>
          <w:tcPr>
            <w:tcW w:w="731" w:type="pct"/>
            <w:tcBorders>
              <w:top w:val="nil"/>
              <w:left w:val="nil"/>
              <w:bottom w:val="single" w:sz="4" w:space="0" w:color="auto"/>
              <w:right w:val="single" w:sz="4" w:space="0" w:color="auto"/>
            </w:tcBorders>
            <w:shd w:val="clear" w:color="auto" w:fill="auto"/>
            <w:vAlign w:val="center"/>
            <w:hideMark/>
          </w:tcPr>
          <w:p w:rsidR="004F70AE" w:rsidRPr="00AC3F1F" w:rsidRDefault="004F70AE" w:rsidP="00E768CB">
            <w:pPr>
              <w:spacing w:before="20" w:after="20" w:line="240" w:lineRule="auto"/>
              <w:jc w:val="right"/>
              <w:rPr>
                <w:sz w:val="22"/>
                <w:szCs w:val="22"/>
                <w:highlight w:val="yellow"/>
              </w:rPr>
            </w:pPr>
            <w:r>
              <w:rPr>
                <w:color w:val="FFFFFF"/>
                <w:sz w:val="20"/>
                <w:szCs w:val="20"/>
              </w:rPr>
              <w:t> </w:t>
            </w:r>
          </w:p>
        </w:tc>
        <w:tc>
          <w:tcPr>
            <w:tcW w:w="685" w:type="pct"/>
            <w:tcBorders>
              <w:top w:val="nil"/>
              <w:left w:val="nil"/>
              <w:bottom w:val="single" w:sz="4" w:space="0" w:color="auto"/>
              <w:right w:val="single" w:sz="4" w:space="0" w:color="auto"/>
            </w:tcBorders>
            <w:shd w:val="clear" w:color="auto" w:fill="auto"/>
            <w:vAlign w:val="center"/>
            <w:hideMark/>
          </w:tcPr>
          <w:p w:rsidR="004F70AE" w:rsidRPr="00AC3F1F" w:rsidRDefault="004F70AE" w:rsidP="00E768CB">
            <w:pPr>
              <w:spacing w:before="20" w:after="20" w:line="240" w:lineRule="auto"/>
              <w:jc w:val="right"/>
              <w:rPr>
                <w:sz w:val="22"/>
                <w:szCs w:val="22"/>
                <w:highlight w:val="yellow"/>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4F70AE" w:rsidRPr="00AC3F1F" w:rsidRDefault="004F70AE" w:rsidP="00E768CB">
            <w:pPr>
              <w:spacing w:before="20" w:after="20" w:line="240" w:lineRule="auto"/>
              <w:jc w:val="right"/>
              <w:rPr>
                <w:sz w:val="22"/>
                <w:szCs w:val="22"/>
                <w:highlight w:val="yellow"/>
              </w:rPr>
            </w:pPr>
            <w:r>
              <w:rPr>
                <w:color w:val="FFFFFF"/>
                <w:sz w:val="20"/>
                <w:szCs w:val="20"/>
              </w:rPr>
              <w:t>0</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8F23B8" w:rsidRDefault="004F70AE" w:rsidP="00E768CB">
            <w:pPr>
              <w:spacing w:before="20" w:after="20" w:line="240" w:lineRule="auto"/>
              <w:jc w:val="right"/>
              <w:rPr>
                <w:b/>
                <w:sz w:val="20"/>
                <w:szCs w:val="20"/>
              </w:rPr>
            </w:pPr>
          </w:p>
          <w:p w:rsidR="00C77E0B" w:rsidRPr="008F23B8" w:rsidRDefault="00C77E0B" w:rsidP="00E768CB">
            <w:pPr>
              <w:spacing w:before="20" w:after="20" w:line="240" w:lineRule="auto"/>
              <w:jc w:val="right"/>
              <w:rPr>
                <w:b/>
                <w:sz w:val="20"/>
                <w:szCs w:val="20"/>
              </w:rPr>
            </w:pPr>
            <w:r w:rsidRPr="008F23B8">
              <w:rPr>
                <w:b/>
                <w:sz w:val="20"/>
                <w:szCs w:val="20"/>
              </w:rPr>
              <w:t>0</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4F70AE" w:rsidRPr="008F23B8" w:rsidRDefault="00B8776A" w:rsidP="00E768CB">
            <w:pPr>
              <w:spacing w:before="20" w:after="20" w:line="240" w:lineRule="auto"/>
              <w:jc w:val="right"/>
              <w:rPr>
                <w:sz w:val="22"/>
                <w:szCs w:val="22"/>
              </w:rPr>
            </w:pPr>
            <w:r w:rsidRPr="002B4ED3">
              <w:rPr>
                <w:sz w:val="20"/>
                <w:szCs w:val="20"/>
              </w:rPr>
              <w:t>168</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8F23B8" w:rsidRDefault="00B8776A" w:rsidP="00E768CB">
            <w:pPr>
              <w:spacing w:before="20" w:after="20" w:line="240" w:lineRule="auto"/>
              <w:jc w:val="right"/>
              <w:rPr>
                <w:b/>
                <w:bCs/>
                <w:sz w:val="22"/>
                <w:szCs w:val="22"/>
              </w:rPr>
            </w:pPr>
            <w:r w:rsidRPr="002B4ED3">
              <w:rPr>
                <w:b/>
                <w:bCs/>
                <w:sz w:val="20"/>
                <w:szCs w:val="20"/>
              </w:rPr>
              <w:t>168</w:t>
            </w:r>
          </w:p>
        </w:tc>
      </w:tr>
      <w:tr w:rsidR="004F70AE" w:rsidRPr="00657D70" w:rsidTr="00D559A2">
        <w:trPr>
          <w:trHeight w:val="687"/>
          <w:jc w:val="center"/>
        </w:trPr>
        <w:tc>
          <w:tcPr>
            <w:tcW w:w="780" w:type="pct"/>
            <w:tcBorders>
              <w:top w:val="nil"/>
              <w:left w:val="single" w:sz="4" w:space="0" w:color="auto"/>
              <w:bottom w:val="single" w:sz="4" w:space="0" w:color="auto"/>
              <w:right w:val="single" w:sz="4" w:space="0" w:color="auto"/>
            </w:tcBorders>
            <w:shd w:val="clear" w:color="auto" w:fill="auto"/>
          </w:tcPr>
          <w:p w:rsidR="004F70AE" w:rsidRPr="00657D70" w:rsidRDefault="004F70AE" w:rsidP="00E768CB">
            <w:pPr>
              <w:spacing w:before="20" w:after="20" w:line="240" w:lineRule="auto"/>
              <w:rPr>
                <w:sz w:val="22"/>
                <w:szCs w:val="22"/>
              </w:rPr>
            </w:pPr>
            <w:r w:rsidRPr="00657D70">
              <w:rPr>
                <w:sz w:val="22"/>
                <w:szCs w:val="22"/>
              </w:rPr>
              <w:t>Budget Flexibility</w:t>
            </w:r>
          </w:p>
        </w:tc>
        <w:tc>
          <w:tcPr>
            <w:tcW w:w="567" w:type="pct"/>
            <w:tcBorders>
              <w:top w:val="nil"/>
              <w:left w:val="nil"/>
              <w:bottom w:val="single" w:sz="4" w:space="0" w:color="auto"/>
              <w:right w:val="single" w:sz="4" w:space="0" w:color="auto"/>
            </w:tcBorders>
            <w:shd w:val="clear" w:color="000000" w:fill="C0C0C0"/>
            <w:noWrap/>
            <w:vAlign w:val="center"/>
          </w:tcPr>
          <w:p w:rsidR="004F70AE" w:rsidRPr="00657D70" w:rsidRDefault="004F70AE" w:rsidP="00E768CB">
            <w:pPr>
              <w:spacing w:before="20" w:after="20" w:line="240" w:lineRule="auto"/>
              <w:jc w:val="right"/>
              <w:rPr>
                <w:b/>
                <w:bCs/>
                <w:sz w:val="22"/>
                <w:szCs w:val="22"/>
              </w:rPr>
            </w:pPr>
            <w:r>
              <w:rPr>
                <w:b/>
                <w:bCs/>
                <w:sz w:val="20"/>
                <w:szCs w:val="20"/>
              </w:rPr>
              <w:t>0</w:t>
            </w:r>
          </w:p>
        </w:tc>
        <w:tc>
          <w:tcPr>
            <w:tcW w:w="731" w:type="pct"/>
            <w:tcBorders>
              <w:top w:val="nil"/>
              <w:left w:val="nil"/>
              <w:bottom w:val="single" w:sz="4" w:space="0" w:color="auto"/>
              <w:right w:val="single" w:sz="4" w:space="0" w:color="auto"/>
            </w:tcBorders>
            <w:shd w:val="clear" w:color="auto" w:fill="auto"/>
            <w:vAlign w:val="center"/>
          </w:tcPr>
          <w:p w:rsidR="004F70AE" w:rsidRPr="00657D70" w:rsidRDefault="004F70AE" w:rsidP="00E768CB">
            <w:pPr>
              <w:spacing w:before="20" w:after="20" w:line="240" w:lineRule="auto"/>
              <w:jc w:val="right"/>
              <w:rPr>
                <w:sz w:val="22"/>
                <w:szCs w:val="22"/>
              </w:rPr>
            </w:pPr>
            <w:r>
              <w:rPr>
                <w:sz w:val="20"/>
                <w:szCs w:val="20"/>
              </w:rPr>
              <w:t>5,309</w:t>
            </w:r>
          </w:p>
        </w:tc>
        <w:tc>
          <w:tcPr>
            <w:tcW w:w="685" w:type="pct"/>
            <w:tcBorders>
              <w:top w:val="nil"/>
              <w:left w:val="nil"/>
              <w:bottom w:val="single" w:sz="4" w:space="0" w:color="auto"/>
              <w:right w:val="single" w:sz="4" w:space="0" w:color="auto"/>
            </w:tcBorders>
            <w:shd w:val="clear" w:color="auto" w:fill="auto"/>
            <w:vAlign w:val="center"/>
          </w:tcPr>
          <w:p w:rsidR="004F70AE" w:rsidRPr="00657D70" w:rsidRDefault="004F70AE" w:rsidP="00E768CB">
            <w:pPr>
              <w:spacing w:before="20" w:after="20" w:line="240" w:lineRule="auto"/>
              <w:jc w:val="right"/>
              <w:rPr>
                <w:sz w:val="22"/>
                <w:szCs w:val="22"/>
              </w:rPr>
            </w:pPr>
            <w:r>
              <w:rPr>
                <w:color w:val="FFFFFF"/>
                <w:sz w:val="20"/>
                <w:szCs w:val="20"/>
              </w:rPr>
              <w:t> </w:t>
            </w:r>
          </w:p>
        </w:tc>
        <w:tc>
          <w:tcPr>
            <w:tcW w:w="490" w:type="pct"/>
            <w:tcBorders>
              <w:top w:val="nil"/>
              <w:left w:val="nil"/>
              <w:bottom w:val="single" w:sz="4" w:space="0" w:color="auto"/>
              <w:right w:val="single" w:sz="4" w:space="0" w:color="auto"/>
            </w:tcBorders>
            <w:shd w:val="clear" w:color="auto" w:fill="auto"/>
            <w:vAlign w:val="center"/>
          </w:tcPr>
          <w:p w:rsidR="004F70AE" w:rsidRPr="00657D70" w:rsidRDefault="004F70AE" w:rsidP="00E768CB">
            <w:pPr>
              <w:spacing w:before="20" w:after="20" w:line="240" w:lineRule="auto"/>
              <w:jc w:val="right"/>
              <w:rPr>
                <w:color w:val="FFFFFF"/>
                <w:sz w:val="22"/>
                <w:szCs w:val="22"/>
              </w:rPr>
            </w:pPr>
            <w:r>
              <w:rPr>
                <w:sz w:val="20"/>
                <w:szCs w:val="20"/>
              </w:rPr>
              <w:t>6,160</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8F23B8" w:rsidRDefault="004F70AE" w:rsidP="00E768CB">
            <w:pPr>
              <w:spacing w:before="20" w:after="20" w:line="240" w:lineRule="auto"/>
              <w:jc w:val="right"/>
              <w:rPr>
                <w:b/>
                <w:sz w:val="20"/>
                <w:szCs w:val="20"/>
              </w:rPr>
            </w:pPr>
          </w:p>
          <w:p w:rsidR="00C77E0B" w:rsidRPr="008F23B8" w:rsidRDefault="00C77E0B" w:rsidP="00E768CB">
            <w:pPr>
              <w:spacing w:before="20" w:after="20" w:line="240" w:lineRule="auto"/>
              <w:jc w:val="right"/>
              <w:rPr>
                <w:b/>
                <w:sz w:val="20"/>
                <w:szCs w:val="20"/>
              </w:rPr>
            </w:pPr>
            <w:r w:rsidRPr="008F23B8">
              <w:rPr>
                <w:b/>
                <w:sz w:val="20"/>
                <w:szCs w:val="20"/>
              </w:rPr>
              <w:t>11,469</w:t>
            </w:r>
          </w:p>
        </w:tc>
        <w:tc>
          <w:tcPr>
            <w:tcW w:w="564" w:type="pct"/>
            <w:tcBorders>
              <w:top w:val="nil"/>
              <w:left w:val="single" w:sz="4" w:space="0" w:color="auto"/>
              <w:bottom w:val="single" w:sz="4" w:space="0" w:color="auto"/>
              <w:right w:val="single" w:sz="4" w:space="0" w:color="auto"/>
            </w:tcBorders>
            <w:shd w:val="clear" w:color="auto" w:fill="auto"/>
            <w:vAlign w:val="center"/>
          </w:tcPr>
          <w:p w:rsidR="004F70AE" w:rsidRPr="00657D70" w:rsidRDefault="004F70AE" w:rsidP="002B4ED3">
            <w:pPr>
              <w:spacing w:before="20" w:after="20" w:line="240" w:lineRule="auto"/>
              <w:jc w:val="right"/>
              <w:rPr>
                <w:sz w:val="22"/>
                <w:szCs w:val="22"/>
              </w:rPr>
            </w:pPr>
            <w:r>
              <w:rPr>
                <w:sz w:val="20"/>
                <w:szCs w:val="20"/>
              </w:rPr>
              <w:t>7,</w:t>
            </w:r>
            <w:r w:rsidR="00DC7242">
              <w:rPr>
                <w:sz w:val="20"/>
                <w:szCs w:val="20"/>
              </w:rPr>
              <w:t>229</w:t>
            </w:r>
          </w:p>
        </w:tc>
        <w:tc>
          <w:tcPr>
            <w:tcW w:w="665" w:type="pct"/>
            <w:tcBorders>
              <w:top w:val="nil"/>
              <w:left w:val="nil"/>
              <w:bottom w:val="single" w:sz="4" w:space="0" w:color="auto"/>
              <w:right w:val="single" w:sz="4" w:space="0" w:color="auto"/>
            </w:tcBorders>
            <w:shd w:val="clear" w:color="000000" w:fill="C0C0C0"/>
            <w:noWrap/>
            <w:vAlign w:val="center"/>
          </w:tcPr>
          <w:p w:rsidR="004F70AE" w:rsidRPr="00657D70" w:rsidRDefault="004F70AE" w:rsidP="00E768CB">
            <w:pPr>
              <w:spacing w:before="20" w:after="20" w:line="240" w:lineRule="auto"/>
              <w:jc w:val="right"/>
              <w:rPr>
                <w:b/>
                <w:bCs/>
                <w:sz w:val="22"/>
                <w:szCs w:val="22"/>
              </w:rPr>
            </w:pPr>
            <w:r>
              <w:rPr>
                <w:b/>
                <w:bCs/>
                <w:sz w:val="20"/>
                <w:szCs w:val="20"/>
              </w:rPr>
              <w:t>1</w:t>
            </w:r>
            <w:r w:rsidR="00DC7242">
              <w:rPr>
                <w:b/>
                <w:bCs/>
                <w:sz w:val="20"/>
                <w:szCs w:val="20"/>
              </w:rPr>
              <w:t>8,698</w:t>
            </w:r>
          </w:p>
        </w:tc>
      </w:tr>
      <w:tr w:rsidR="004F70AE" w:rsidRPr="00657D70" w:rsidTr="00D559A2">
        <w:trPr>
          <w:trHeight w:val="255"/>
          <w:jc w:val="center"/>
        </w:trPr>
        <w:tc>
          <w:tcPr>
            <w:tcW w:w="780" w:type="pct"/>
            <w:tcBorders>
              <w:top w:val="nil"/>
              <w:left w:val="single" w:sz="4" w:space="0" w:color="auto"/>
              <w:bottom w:val="single" w:sz="4" w:space="0" w:color="auto"/>
              <w:right w:val="single" w:sz="4" w:space="0" w:color="auto"/>
            </w:tcBorders>
            <w:shd w:val="clear" w:color="auto" w:fill="auto"/>
          </w:tcPr>
          <w:p w:rsidR="004F70AE" w:rsidRPr="00657D70" w:rsidRDefault="004F70AE" w:rsidP="00E768CB">
            <w:pPr>
              <w:spacing w:before="20" w:after="20" w:line="240" w:lineRule="auto"/>
              <w:rPr>
                <w:sz w:val="22"/>
                <w:szCs w:val="22"/>
              </w:rPr>
            </w:pPr>
            <w:r w:rsidRPr="00657D70">
              <w:rPr>
                <w:sz w:val="22"/>
                <w:szCs w:val="22"/>
              </w:rPr>
              <w:t>General</w:t>
            </w:r>
          </w:p>
        </w:tc>
        <w:tc>
          <w:tcPr>
            <w:tcW w:w="567" w:type="pct"/>
            <w:tcBorders>
              <w:top w:val="nil"/>
              <w:left w:val="nil"/>
              <w:bottom w:val="single" w:sz="4" w:space="0" w:color="auto"/>
              <w:right w:val="single" w:sz="4" w:space="0" w:color="auto"/>
            </w:tcBorders>
            <w:shd w:val="clear" w:color="000000" w:fill="C0C0C0"/>
            <w:noWrap/>
            <w:vAlign w:val="center"/>
          </w:tcPr>
          <w:p w:rsidR="004F70AE" w:rsidRPr="00657D70" w:rsidRDefault="004F70AE" w:rsidP="00E768CB">
            <w:pPr>
              <w:spacing w:before="20" w:after="20" w:line="240" w:lineRule="auto"/>
              <w:jc w:val="right"/>
              <w:rPr>
                <w:b/>
                <w:bCs/>
                <w:sz w:val="22"/>
                <w:szCs w:val="22"/>
              </w:rPr>
            </w:pPr>
            <w:r>
              <w:rPr>
                <w:b/>
                <w:bCs/>
                <w:sz w:val="20"/>
                <w:szCs w:val="20"/>
              </w:rPr>
              <w:t>21,489</w:t>
            </w:r>
          </w:p>
        </w:tc>
        <w:tc>
          <w:tcPr>
            <w:tcW w:w="731" w:type="pct"/>
            <w:tcBorders>
              <w:top w:val="nil"/>
              <w:left w:val="nil"/>
              <w:bottom w:val="single" w:sz="4" w:space="0" w:color="auto"/>
              <w:right w:val="single" w:sz="4" w:space="0" w:color="auto"/>
            </w:tcBorders>
            <w:shd w:val="clear" w:color="auto" w:fill="auto"/>
            <w:vAlign w:val="center"/>
          </w:tcPr>
          <w:p w:rsidR="004F70AE" w:rsidRPr="00657D70" w:rsidRDefault="004F70AE" w:rsidP="00E768CB">
            <w:pPr>
              <w:spacing w:before="20" w:after="20" w:line="240" w:lineRule="auto"/>
              <w:jc w:val="right"/>
              <w:rPr>
                <w:sz w:val="22"/>
                <w:szCs w:val="22"/>
              </w:rPr>
            </w:pPr>
            <w:r>
              <w:rPr>
                <w:sz w:val="20"/>
                <w:szCs w:val="20"/>
              </w:rPr>
              <w:t>(13,011)</w:t>
            </w:r>
          </w:p>
        </w:tc>
        <w:tc>
          <w:tcPr>
            <w:tcW w:w="685" w:type="pct"/>
            <w:tcBorders>
              <w:top w:val="nil"/>
              <w:left w:val="nil"/>
              <w:bottom w:val="single" w:sz="4" w:space="0" w:color="auto"/>
              <w:right w:val="single" w:sz="4" w:space="0" w:color="auto"/>
            </w:tcBorders>
            <w:shd w:val="clear" w:color="auto" w:fill="auto"/>
            <w:vAlign w:val="center"/>
          </w:tcPr>
          <w:p w:rsidR="004F70AE" w:rsidRPr="00657D70" w:rsidRDefault="004F70AE" w:rsidP="00E768CB">
            <w:pPr>
              <w:spacing w:before="20" w:after="20" w:line="240" w:lineRule="auto"/>
              <w:jc w:val="right"/>
              <w:rPr>
                <w:sz w:val="22"/>
                <w:szCs w:val="22"/>
              </w:rPr>
            </w:pPr>
            <w:r>
              <w:rPr>
                <w:sz w:val="20"/>
                <w:szCs w:val="20"/>
              </w:rPr>
              <w:t>11,878</w:t>
            </w:r>
          </w:p>
        </w:tc>
        <w:tc>
          <w:tcPr>
            <w:tcW w:w="490" w:type="pct"/>
            <w:tcBorders>
              <w:top w:val="nil"/>
              <w:left w:val="nil"/>
              <w:bottom w:val="single" w:sz="4" w:space="0" w:color="auto"/>
              <w:right w:val="single" w:sz="4" w:space="0" w:color="auto"/>
            </w:tcBorders>
            <w:shd w:val="clear" w:color="auto" w:fill="auto"/>
            <w:vAlign w:val="center"/>
          </w:tcPr>
          <w:p w:rsidR="004F70AE" w:rsidRPr="00657D70" w:rsidRDefault="004F70AE" w:rsidP="00E768CB">
            <w:pPr>
              <w:spacing w:before="20" w:after="20" w:line="240" w:lineRule="auto"/>
              <w:jc w:val="right"/>
              <w:rPr>
                <w:color w:val="FFFFFF"/>
                <w:sz w:val="22"/>
                <w:szCs w:val="22"/>
              </w:rPr>
            </w:pPr>
            <w:r>
              <w:rPr>
                <w:color w:val="FFFFFF"/>
                <w:sz w:val="20"/>
                <w:szCs w:val="20"/>
              </w:rPr>
              <w:t> </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8F23B8" w:rsidRDefault="00C77E0B" w:rsidP="00E768CB">
            <w:pPr>
              <w:spacing w:before="20" w:after="20" w:line="240" w:lineRule="auto"/>
              <w:jc w:val="right"/>
              <w:rPr>
                <w:b/>
                <w:sz w:val="20"/>
                <w:szCs w:val="20"/>
              </w:rPr>
            </w:pPr>
            <w:r w:rsidRPr="008F23B8">
              <w:rPr>
                <w:b/>
                <w:sz w:val="20"/>
                <w:szCs w:val="20"/>
              </w:rPr>
              <w:t>20,356</w:t>
            </w:r>
          </w:p>
        </w:tc>
        <w:tc>
          <w:tcPr>
            <w:tcW w:w="564" w:type="pct"/>
            <w:tcBorders>
              <w:top w:val="nil"/>
              <w:left w:val="single" w:sz="4" w:space="0" w:color="auto"/>
              <w:bottom w:val="single" w:sz="4" w:space="0" w:color="auto"/>
              <w:right w:val="single" w:sz="4" w:space="0" w:color="auto"/>
            </w:tcBorders>
            <w:shd w:val="clear" w:color="auto" w:fill="auto"/>
            <w:vAlign w:val="center"/>
          </w:tcPr>
          <w:p w:rsidR="004F70AE" w:rsidRPr="00657D70" w:rsidRDefault="004F70AE" w:rsidP="00E768CB">
            <w:pPr>
              <w:spacing w:before="20" w:after="20" w:line="240" w:lineRule="auto"/>
              <w:jc w:val="right"/>
              <w:rPr>
                <w:sz w:val="22"/>
                <w:szCs w:val="22"/>
              </w:rPr>
            </w:pPr>
            <w:r>
              <w:rPr>
                <w:sz w:val="20"/>
                <w:szCs w:val="20"/>
              </w:rPr>
              <w:t>(6,</w:t>
            </w:r>
            <w:r w:rsidR="00DC7242">
              <w:rPr>
                <w:sz w:val="20"/>
                <w:szCs w:val="20"/>
              </w:rPr>
              <w:t>317</w:t>
            </w:r>
            <w:r>
              <w:rPr>
                <w:sz w:val="20"/>
                <w:szCs w:val="20"/>
              </w:rPr>
              <w:t>)</w:t>
            </w:r>
          </w:p>
        </w:tc>
        <w:tc>
          <w:tcPr>
            <w:tcW w:w="665" w:type="pct"/>
            <w:tcBorders>
              <w:top w:val="nil"/>
              <w:left w:val="nil"/>
              <w:bottom w:val="single" w:sz="4" w:space="0" w:color="auto"/>
              <w:right w:val="single" w:sz="4" w:space="0" w:color="auto"/>
            </w:tcBorders>
            <w:shd w:val="clear" w:color="000000" w:fill="C0C0C0"/>
            <w:noWrap/>
            <w:vAlign w:val="center"/>
          </w:tcPr>
          <w:p w:rsidR="004F70AE" w:rsidRPr="00657D70" w:rsidRDefault="00DC7242" w:rsidP="002B4ED3">
            <w:pPr>
              <w:spacing w:before="20" w:after="20" w:line="240" w:lineRule="auto"/>
              <w:jc w:val="right"/>
              <w:rPr>
                <w:b/>
                <w:bCs/>
                <w:sz w:val="22"/>
                <w:szCs w:val="22"/>
              </w:rPr>
            </w:pPr>
            <w:r>
              <w:rPr>
                <w:b/>
                <w:bCs/>
                <w:sz w:val="20"/>
                <w:szCs w:val="20"/>
              </w:rPr>
              <w:t>14,039</w:t>
            </w:r>
          </w:p>
        </w:tc>
      </w:tr>
      <w:tr w:rsidR="004F70AE" w:rsidRPr="00657D70" w:rsidTr="00D559A2">
        <w:trPr>
          <w:trHeight w:val="255"/>
          <w:jc w:val="center"/>
        </w:trPr>
        <w:tc>
          <w:tcPr>
            <w:tcW w:w="780" w:type="pct"/>
            <w:tcBorders>
              <w:top w:val="nil"/>
              <w:left w:val="single" w:sz="4" w:space="0" w:color="auto"/>
              <w:bottom w:val="single" w:sz="4" w:space="0" w:color="auto"/>
              <w:right w:val="single" w:sz="4" w:space="0" w:color="auto"/>
            </w:tcBorders>
            <w:shd w:val="clear" w:color="000000" w:fill="C0C0C0"/>
            <w:vAlign w:val="bottom"/>
            <w:hideMark/>
          </w:tcPr>
          <w:p w:rsidR="004F70AE" w:rsidRPr="00657D70" w:rsidRDefault="004F70AE" w:rsidP="00E768CB">
            <w:pPr>
              <w:spacing w:before="20" w:after="20" w:line="240" w:lineRule="auto"/>
              <w:rPr>
                <w:b/>
                <w:bCs/>
                <w:sz w:val="22"/>
                <w:szCs w:val="22"/>
              </w:rPr>
            </w:pPr>
            <w:r w:rsidRPr="00657D70">
              <w:rPr>
                <w:b/>
                <w:bCs/>
                <w:sz w:val="22"/>
                <w:szCs w:val="22"/>
              </w:rPr>
              <w:t>Total</w:t>
            </w:r>
          </w:p>
        </w:tc>
        <w:tc>
          <w:tcPr>
            <w:tcW w:w="567"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37,065</w:t>
            </w:r>
          </w:p>
        </w:tc>
        <w:tc>
          <w:tcPr>
            <w:tcW w:w="731"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0</w:t>
            </w:r>
          </w:p>
        </w:tc>
        <w:tc>
          <w:tcPr>
            <w:tcW w:w="68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11,878</w:t>
            </w:r>
          </w:p>
        </w:tc>
        <w:tc>
          <w:tcPr>
            <w:tcW w:w="490"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4,947</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tcPr>
          <w:p w:rsidR="004F70AE" w:rsidRPr="009D2B89" w:rsidRDefault="00C77E0B" w:rsidP="00E768CB">
            <w:pPr>
              <w:spacing w:before="20" w:after="20" w:line="240" w:lineRule="auto"/>
              <w:jc w:val="right"/>
              <w:rPr>
                <w:b/>
                <w:bCs/>
                <w:sz w:val="20"/>
                <w:szCs w:val="20"/>
              </w:rPr>
            </w:pPr>
            <w:r w:rsidRPr="009D2B89">
              <w:rPr>
                <w:b/>
                <w:bCs/>
                <w:sz w:val="20"/>
                <w:szCs w:val="20"/>
              </w:rPr>
              <w:t>53,890</w:t>
            </w:r>
          </w:p>
        </w:tc>
        <w:tc>
          <w:tcPr>
            <w:tcW w:w="564" w:type="pct"/>
            <w:tcBorders>
              <w:top w:val="nil"/>
              <w:left w:val="single" w:sz="4" w:space="0" w:color="auto"/>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0</w:t>
            </w:r>
          </w:p>
        </w:tc>
        <w:tc>
          <w:tcPr>
            <w:tcW w:w="665" w:type="pct"/>
            <w:tcBorders>
              <w:top w:val="nil"/>
              <w:left w:val="nil"/>
              <w:bottom w:val="single" w:sz="4" w:space="0" w:color="auto"/>
              <w:right w:val="single" w:sz="4" w:space="0" w:color="auto"/>
            </w:tcBorders>
            <w:shd w:val="clear" w:color="000000" w:fill="C0C0C0"/>
            <w:noWrap/>
            <w:vAlign w:val="center"/>
            <w:hideMark/>
          </w:tcPr>
          <w:p w:rsidR="004F70AE" w:rsidRPr="00657D70" w:rsidRDefault="004F70AE" w:rsidP="00E768CB">
            <w:pPr>
              <w:spacing w:before="20" w:after="20" w:line="240" w:lineRule="auto"/>
              <w:jc w:val="right"/>
              <w:rPr>
                <w:b/>
                <w:bCs/>
                <w:sz w:val="22"/>
                <w:szCs w:val="22"/>
                <w:highlight w:val="yellow"/>
              </w:rPr>
            </w:pPr>
            <w:r>
              <w:rPr>
                <w:b/>
                <w:bCs/>
                <w:sz w:val="20"/>
                <w:szCs w:val="20"/>
              </w:rPr>
              <w:t>53,890</w:t>
            </w:r>
          </w:p>
        </w:tc>
      </w:tr>
    </w:tbl>
    <w:p w:rsidR="008F25D4" w:rsidRDefault="008F25D4" w:rsidP="008F25D4">
      <w:pPr>
        <w:pStyle w:val="NumbList"/>
      </w:pPr>
    </w:p>
    <w:p w:rsidR="00432DC9" w:rsidRDefault="005436FD" w:rsidP="005436FD">
      <w:pPr>
        <w:pStyle w:val="NumbList"/>
        <w:numPr>
          <w:ilvl w:val="0"/>
          <w:numId w:val="72"/>
        </w:numPr>
      </w:pPr>
      <w:r w:rsidRPr="005436FD">
        <w:t>The reserves table above includes the establishment of a Government Inspection (HMICFRS) reserve to meet the costs of additional staff to facilitate the inspection regime and £83k supplementation of the Recruitment</w:t>
      </w:r>
      <w:r>
        <w:t xml:space="preserve">/Outreach reserve from 1 April. </w:t>
      </w:r>
      <w:r w:rsidRPr="005436FD">
        <w:t xml:space="preserve">The above table also includes a £600k transfer of underspend into the ICT Development earmarked reserve to cover planned spend in 2018/19 and £168k to meet the costs </w:t>
      </w:r>
      <w:r>
        <w:t xml:space="preserve">of the Watch Structure Review. </w:t>
      </w:r>
      <w:r w:rsidRPr="005436FD">
        <w:t>The new watch structure will further improve the resilience of the Brigade by simplifying and strengthening the officer structure at stations, with the intention to reduce officer out duties and improve appliance availability. This work was included as a financial risk in 2018/19 budget report (FEP2825) and the £168k will be used for system update costs, the update of existing training packages and the develo</w:t>
      </w:r>
      <w:r>
        <w:t xml:space="preserve">pment of new training packages. </w:t>
      </w:r>
      <w:r w:rsidRPr="005436FD">
        <w:t xml:space="preserve">The table also reflects an additional transfer of £7,229k to </w:t>
      </w:r>
      <w:r>
        <w:t xml:space="preserve">the Budget Flexibility reserve. </w:t>
      </w:r>
      <w:r w:rsidRPr="005436FD">
        <w:t>This would increase the existing Budget Flexibility reserve from £11.5m to £18.7m.</w:t>
      </w:r>
      <w:r w:rsidR="00575018">
        <w:t>.</w:t>
      </w:r>
      <w:r w:rsidR="00432DC9" w:rsidRPr="00432DC9">
        <w:t xml:space="preserve"> </w:t>
      </w:r>
    </w:p>
    <w:p w:rsidR="00083422" w:rsidRDefault="00432DC9" w:rsidP="000E2E68">
      <w:pPr>
        <w:pStyle w:val="NumbList"/>
        <w:numPr>
          <w:ilvl w:val="0"/>
          <w:numId w:val="72"/>
        </w:numPr>
        <w:ind w:left="426" w:hanging="426"/>
      </w:pPr>
      <w:r>
        <w:t>Table 3 below</w:t>
      </w:r>
      <w:r w:rsidRPr="000D2556">
        <w:t xml:space="preserve"> shows how the </w:t>
      </w:r>
      <w:r>
        <w:t>proposed increased balance on the</w:t>
      </w:r>
      <w:r w:rsidRPr="000D2556">
        <w:t xml:space="preserve"> Budget Flexibility </w:t>
      </w:r>
      <w:r w:rsidR="00575018">
        <w:t>r</w:t>
      </w:r>
      <w:r w:rsidRPr="000D2556">
        <w:t xml:space="preserve">eserve </w:t>
      </w:r>
      <w:r>
        <w:t>could</w:t>
      </w:r>
      <w:r w:rsidRPr="000D2556">
        <w:t xml:space="preserve"> help to </w:t>
      </w:r>
      <w:r>
        <w:t xml:space="preserve">further </w:t>
      </w:r>
      <w:r w:rsidRPr="000D2556">
        <w:t>mitigate the budget deficit anticipated over the next four years</w:t>
      </w:r>
      <w:r w:rsidR="00891003">
        <w:t xml:space="preserve">. </w:t>
      </w:r>
      <w:r>
        <w:t xml:space="preserve">This would reduce the budget gap </w:t>
      </w:r>
      <w:r w:rsidR="00657D70">
        <w:t>up to 2021/22 from £10.2m to £4.</w:t>
      </w:r>
      <w:r w:rsidR="00070EC9">
        <w:t>4</w:t>
      </w:r>
      <w:r>
        <w:t xml:space="preserve">m. Although it should be noted that as reserve funding only provides a one-off solution, this would increase any budget gap in </w:t>
      </w:r>
      <w:r w:rsidRPr="00070EC9">
        <w:t>2022/23 by £</w:t>
      </w:r>
      <w:r w:rsidR="00070EC9">
        <w:t>5</w:t>
      </w:r>
      <w:r w:rsidR="001D15CD" w:rsidRPr="00070EC9">
        <w:t>.</w:t>
      </w:r>
      <w:r w:rsidR="00070EC9">
        <w:t>8</w:t>
      </w:r>
      <w:r w:rsidRPr="00070EC9">
        <w:t>m.</w:t>
      </w:r>
      <w:r>
        <w:t xml:space="preserve"> An update on the budget position in future years will be provided to the Commissioner’s Board once the Mayor’s budget guidance has been received, which is </w:t>
      </w:r>
      <w:r w:rsidR="00575018">
        <w:t xml:space="preserve">expected </w:t>
      </w:r>
      <w:r>
        <w:t xml:space="preserve">to be </w:t>
      </w:r>
      <w:r w:rsidR="00575018">
        <w:t>published towards the end of the month (</w:t>
      </w:r>
      <w:r>
        <w:t>June 2018</w:t>
      </w:r>
      <w:r w:rsidR="00575018">
        <w:t>)</w:t>
      </w:r>
      <w:r w:rsidR="001C6EBB">
        <w:t>.</w:t>
      </w:r>
    </w:p>
    <w:p w:rsidR="0015510E" w:rsidRDefault="0015510E" w:rsidP="0015510E">
      <w:pPr>
        <w:pStyle w:val="NumbList"/>
      </w:pPr>
    </w:p>
    <w:p w:rsidR="0015510E" w:rsidRDefault="0015510E" w:rsidP="0015510E">
      <w:pPr>
        <w:pStyle w:val="NumbList"/>
      </w:pPr>
    </w:p>
    <w:p w:rsidR="00E74461" w:rsidRPr="003A5604" w:rsidRDefault="00E74461" w:rsidP="00EB3F84">
      <w:pPr>
        <w:pStyle w:val="NumbList"/>
        <w:spacing w:after="0" w:line="0" w:lineRule="atLeast"/>
        <w:contextualSpacing/>
        <w:rPr>
          <w:b/>
        </w:rPr>
      </w:pPr>
      <w:r w:rsidRPr="003A5604">
        <w:rPr>
          <w:b/>
        </w:rPr>
        <w:t>Table 3</w:t>
      </w:r>
      <w:r w:rsidR="003A5604" w:rsidRPr="003A5604">
        <w:rPr>
          <w:b/>
        </w:rPr>
        <w:t xml:space="preserve"> – Balance on Budget Flexibility Reserve</w:t>
      </w:r>
    </w:p>
    <w:tbl>
      <w:tblPr>
        <w:tblW w:w="9600" w:type="dxa"/>
        <w:tblInd w:w="103" w:type="dxa"/>
        <w:tblLook w:val="04A0" w:firstRow="1" w:lastRow="0" w:firstColumn="1" w:lastColumn="0" w:noHBand="0" w:noVBand="1"/>
      </w:tblPr>
      <w:tblGrid>
        <w:gridCol w:w="4800"/>
        <w:gridCol w:w="1200"/>
        <w:gridCol w:w="1200"/>
        <w:gridCol w:w="1200"/>
        <w:gridCol w:w="1200"/>
      </w:tblGrid>
      <w:tr w:rsidR="00E74461" w:rsidRPr="00E74461" w:rsidTr="00114123">
        <w:trPr>
          <w:trHeight w:val="300"/>
          <w:tblHeader/>
        </w:trPr>
        <w:tc>
          <w:tcPr>
            <w:tcW w:w="48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E74461" w:rsidRPr="00E74461" w:rsidRDefault="00E74461" w:rsidP="00E74461">
            <w:pPr>
              <w:spacing w:after="0" w:line="240" w:lineRule="auto"/>
              <w:rPr>
                <w:b/>
                <w:bCs/>
                <w:color w:val="000000"/>
                <w:sz w:val="22"/>
                <w:szCs w:val="22"/>
              </w:rPr>
            </w:pPr>
            <w:r w:rsidRPr="00E74461">
              <w:rPr>
                <w:b/>
                <w:bCs/>
                <w:color w:val="000000"/>
                <w:sz w:val="22"/>
                <w:szCs w:val="22"/>
              </w:rPr>
              <w:t> </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74461" w:rsidRPr="00E74461" w:rsidRDefault="00E74461" w:rsidP="00E74461">
            <w:pPr>
              <w:spacing w:after="0" w:line="240" w:lineRule="auto"/>
              <w:jc w:val="center"/>
              <w:rPr>
                <w:b/>
                <w:bCs/>
                <w:color w:val="000000"/>
                <w:sz w:val="22"/>
                <w:szCs w:val="22"/>
              </w:rPr>
            </w:pPr>
            <w:r w:rsidRPr="00E74461">
              <w:rPr>
                <w:b/>
                <w:bCs/>
                <w:color w:val="000000"/>
                <w:sz w:val="22"/>
                <w:szCs w:val="22"/>
              </w:rPr>
              <w:t>2018/19</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rsidR="00E74461" w:rsidRPr="00E74461" w:rsidRDefault="00E74461" w:rsidP="00E74461">
            <w:pPr>
              <w:spacing w:after="0" w:line="240" w:lineRule="auto"/>
              <w:jc w:val="center"/>
              <w:rPr>
                <w:b/>
                <w:bCs/>
                <w:color w:val="000000"/>
                <w:sz w:val="22"/>
                <w:szCs w:val="22"/>
              </w:rPr>
            </w:pPr>
            <w:r w:rsidRPr="00E74461">
              <w:rPr>
                <w:b/>
                <w:bCs/>
                <w:color w:val="000000"/>
                <w:sz w:val="22"/>
                <w:szCs w:val="22"/>
              </w:rPr>
              <w:t>2019/20</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rsidR="00E74461" w:rsidRPr="00E74461" w:rsidRDefault="00E74461" w:rsidP="00E74461">
            <w:pPr>
              <w:spacing w:after="0" w:line="240" w:lineRule="auto"/>
              <w:jc w:val="center"/>
              <w:rPr>
                <w:b/>
                <w:bCs/>
                <w:color w:val="000000"/>
                <w:sz w:val="22"/>
                <w:szCs w:val="22"/>
              </w:rPr>
            </w:pPr>
            <w:r w:rsidRPr="00E74461">
              <w:rPr>
                <w:b/>
                <w:bCs/>
                <w:color w:val="000000"/>
                <w:sz w:val="22"/>
                <w:szCs w:val="22"/>
              </w:rPr>
              <w:t>2020/21</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rsidR="00E74461" w:rsidRPr="00E74461" w:rsidRDefault="00E74461" w:rsidP="00E74461">
            <w:pPr>
              <w:spacing w:after="0" w:line="240" w:lineRule="auto"/>
              <w:jc w:val="center"/>
              <w:rPr>
                <w:b/>
                <w:bCs/>
                <w:color w:val="000000"/>
                <w:sz w:val="22"/>
                <w:szCs w:val="22"/>
              </w:rPr>
            </w:pPr>
            <w:r w:rsidRPr="00E74461">
              <w:rPr>
                <w:b/>
                <w:bCs/>
                <w:color w:val="000000"/>
                <w:sz w:val="22"/>
                <w:szCs w:val="22"/>
              </w:rPr>
              <w:t>2021/22</w:t>
            </w:r>
          </w:p>
        </w:tc>
      </w:tr>
      <w:tr w:rsidR="00E74461" w:rsidRPr="00E74461" w:rsidTr="00114123">
        <w:trPr>
          <w:trHeight w:val="300"/>
          <w:tblHeader/>
        </w:trPr>
        <w:tc>
          <w:tcPr>
            <w:tcW w:w="4800" w:type="dxa"/>
            <w:vMerge/>
            <w:tcBorders>
              <w:top w:val="single" w:sz="4" w:space="0" w:color="auto"/>
              <w:left w:val="single" w:sz="4" w:space="0" w:color="auto"/>
              <w:bottom w:val="single" w:sz="4" w:space="0" w:color="auto"/>
              <w:right w:val="single" w:sz="4" w:space="0" w:color="auto"/>
            </w:tcBorders>
            <w:vAlign w:val="center"/>
            <w:hideMark/>
          </w:tcPr>
          <w:p w:rsidR="00E74461" w:rsidRPr="00E74461" w:rsidRDefault="00E74461" w:rsidP="00E74461">
            <w:pPr>
              <w:spacing w:after="0" w:line="240" w:lineRule="auto"/>
              <w:rPr>
                <w:b/>
                <w:bCs/>
                <w:color w:val="000000"/>
                <w:sz w:val="22"/>
                <w:szCs w:val="22"/>
              </w:rPr>
            </w:pPr>
          </w:p>
        </w:tc>
        <w:tc>
          <w:tcPr>
            <w:tcW w:w="1200" w:type="dxa"/>
            <w:tcBorders>
              <w:top w:val="nil"/>
              <w:left w:val="single" w:sz="4" w:space="0" w:color="auto"/>
              <w:bottom w:val="single" w:sz="4" w:space="0" w:color="auto"/>
              <w:right w:val="single" w:sz="4" w:space="0" w:color="auto"/>
            </w:tcBorders>
            <w:shd w:val="clear" w:color="000000" w:fill="D9D9D9"/>
            <w:vAlign w:val="center"/>
            <w:hideMark/>
          </w:tcPr>
          <w:p w:rsidR="00E74461" w:rsidRPr="00E74461" w:rsidRDefault="00E74461" w:rsidP="00E74461">
            <w:pPr>
              <w:spacing w:after="0" w:line="240" w:lineRule="auto"/>
              <w:jc w:val="center"/>
              <w:rPr>
                <w:b/>
                <w:bCs/>
                <w:color w:val="000000"/>
                <w:sz w:val="22"/>
                <w:szCs w:val="22"/>
              </w:rPr>
            </w:pPr>
            <w:r w:rsidRPr="00E74461">
              <w:rPr>
                <w:b/>
                <w:bCs/>
                <w:color w:val="000000"/>
                <w:sz w:val="22"/>
                <w:szCs w:val="22"/>
              </w:rPr>
              <w:t>£m</w:t>
            </w:r>
          </w:p>
        </w:tc>
        <w:tc>
          <w:tcPr>
            <w:tcW w:w="1200" w:type="dxa"/>
            <w:tcBorders>
              <w:top w:val="nil"/>
              <w:left w:val="nil"/>
              <w:bottom w:val="single" w:sz="4" w:space="0" w:color="auto"/>
              <w:right w:val="single" w:sz="4" w:space="0" w:color="auto"/>
            </w:tcBorders>
            <w:shd w:val="clear" w:color="000000" w:fill="D9D9D9"/>
            <w:vAlign w:val="center"/>
            <w:hideMark/>
          </w:tcPr>
          <w:p w:rsidR="00E74461" w:rsidRPr="00E74461" w:rsidRDefault="00E74461" w:rsidP="00E74461">
            <w:pPr>
              <w:spacing w:after="0" w:line="240" w:lineRule="auto"/>
              <w:jc w:val="center"/>
              <w:rPr>
                <w:b/>
                <w:bCs/>
                <w:color w:val="000000"/>
                <w:sz w:val="22"/>
                <w:szCs w:val="22"/>
              </w:rPr>
            </w:pPr>
            <w:r w:rsidRPr="00E74461">
              <w:rPr>
                <w:b/>
                <w:bCs/>
                <w:color w:val="000000"/>
                <w:sz w:val="22"/>
                <w:szCs w:val="22"/>
              </w:rPr>
              <w:t>£m</w:t>
            </w:r>
          </w:p>
        </w:tc>
        <w:tc>
          <w:tcPr>
            <w:tcW w:w="1200" w:type="dxa"/>
            <w:tcBorders>
              <w:top w:val="nil"/>
              <w:left w:val="nil"/>
              <w:bottom w:val="single" w:sz="4" w:space="0" w:color="auto"/>
              <w:right w:val="single" w:sz="4" w:space="0" w:color="auto"/>
            </w:tcBorders>
            <w:shd w:val="clear" w:color="000000" w:fill="D9D9D9"/>
            <w:vAlign w:val="center"/>
            <w:hideMark/>
          </w:tcPr>
          <w:p w:rsidR="00E74461" w:rsidRPr="00E74461" w:rsidRDefault="00E74461" w:rsidP="00E74461">
            <w:pPr>
              <w:spacing w:after="0" w:line="240" w:lineRule="auto"/>
              <w:jc w:val="center"/>
              <w:rPr>
                <w:b/>
                <w:bCs/>
                <w:color w:val="000000"/>
                <w:sz w:val="22"/>
                <w:szCs w:val="22"/>
              </w:rPr>
            </w:pPr>
            <w:r w:rsidRPr="00E74461">
              <w:rPr>
                <w:b/>
                <w:bCs/>
                <w:color w:val="000000"/>
                <w:sz w:val="22"/>
                <w:szCs w:val="22"/>
              </w:rPr>
              <w:t>£m</w:t>
            </w:r>
          </w:p>
        </w:tc>
        <w:tc>
          <w:tcPr>
            <w:tcW w:w="1200" w:type="dxa"/>
            <w:tcBorders>
              <w:top w:val="nil"/>
              <w:left w:val="nil"/>
              <w:bottom w:val="single" w:sz="4" w:space="0" w:color="auto"/>
              <w:right w:val="single" w:sz="4" w:space="0" w:color="auto"/>
            </w:tcBorders>
            <w:shd w:val="clear" w:color="000000" w:fill="D9D9D9"/>
            <w:vAlign w:val="center"/>
            <w:hideMark/>
          </w:tcPr>
          <w:p w:rsidR="00E74461" w:rsidRPr="00E74461" w:rsidRDefault="00E74461" w:rsidP="00E74461">
            <w:pPr>
              <w:spacing w:after="0" w:line="240" w:lineRule="auto"/>
              <w:jc w:val="center"/>
              <w:rPr>
                <w:b/>
                <w:bCs/>
                <w:color w:val="000000"/>
                <w:sz w:val="22"/>
                <w:szCs w:val="22"/>
              </w:rPr>
            </w:pPr>
            <w:r w:rsidRPr="00E74461">
              <w:rPr>
                <w:b/>
                <w:bCs/>
                <w:color w:val="000000"/>
                <w:sz w:val="22"/>
                <w:szCs w:val="22"/>
              </w:rPr>
              <w:t>£m</w:t>
            </w:r>
          </w:p>
        </w:tc>
      </w:tr>
      <w:tr w:rsidR="00AC3F1F" w:rsidRPr="00E74461" w:rsidTr="00E74461">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AC3F1F" w:rsidRPr="00E74461" w:rsidRDefault="00AC3F1F" w:rsidP="00E74461">
            <w:pPr>
              <w:spacing w:after="0" w:line="240" w:lineRule="auto"/>
              <w:rPr>
                <w:b/>
                <w:bCs/>
                <w:color w:val="000000"/>
                <w:sz w:val="22"/>
                <w:szCs w:val="22"/>
              </w:rPr>
            </w:pPr>
            <w:r w:rsidRPr="00E74461">
              <w:rPr>
                <w:b/>
                <w:bCs/>
                <w:color w:val="000000"/>
                <w:sz w:val="22"/>
                <w:szCs w:val="22"/>
              </w:rPr>
              <w:t>Budget Gap March</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C3F1F" w:rsidRPr="00E74461" w:rsidRDefault="00AC3F1F" w:rsidP="00E74461">
            <w:pPr>
              <w:spacing w:after="0" w:line="240" w:lineRule="auto"/>
              <w:jc w:val="right"/>
              <w:rPr>
                <w:b/>
                <w:bCs/>
                <w:sz w:val="22"/>
                <w:szCs w:val="22"/>
              </w:rPr>
            </w:pPr>
            <w:r>
              <w:rPr>
                <w:b/>
                <w:bCs/>
                <w:sz w:val="22"/>
                <w:szCs w:val="22"/>
              </w:rPr>
              <w:t>(4.4)</w:t>
            </w:r>
          </w:p>
        </w:tc>
        <w:tc>
          <w:tcPr>
            <w:tcW w:w="1200" w:type="dxa"/>
            <w:tcBorders>
              <w:top w:val="single" w:sz="4" w:space="0" w:color="auto"/>
              <w:left w:val="nil"/>
              <w:bottom w:val="single" w:sz="4" w:space="0" w:color="auto"/>
              <w:right w:val="single" w:sz="4" w:space="0" w:color="auto"/>
            </w:tcBorders>
            <w:shd w:val="clear" w:color="auto" w:fill="auto"/>
            <w:noWrap/>
            <w:hideMark/>
          </w:tcPr>
          <w:p w:rsidR="00AC3F1F" w:rsidRPr="00E74461" w:rsidRDefault="00AC3F1F" w:rsidP="00E74461">
            <w:pPr>
              <w:spacing w:after="0" w:line="240" w:lineRule="auto"/>
              <w:jc w:val="right"/>
              <w:rPr>
                <w:b/>
                <w:bCs/>
                <w:sz w:val="22"/>
                <w:szCs w:val="22"/>
              </w:rPr>
            </w:pPr>
            <w:r>
              <w:rPr>
                <w:b/>
                <w:bCs/>
                <w:sz w:val="22"/>
                <w:szCs w:val="22"/>
              </w:rPr>
              <w:t>8.7</w:t>
            </w:r>
          </w:p>
        </w:tc>
        <w:tc>
          <w:tcPr>
            <w:tcW w:w="1200" w:type="dxa"/>
            <w:tcBorders>
              <w:top w:val="single" w:sz="4" w:space="0" w:color="auto"/>
              <w:left w:val="nil"/>
              <w:bottom w:val="single" w:sz="4" w:space="0" w:color="auto"/>
              <w:right w:val="single" w:sz="4" w:space="0" w:color="auto"/>
            </w:tcBorders>
            <w:shd w:val="clear" w:color="auto" w:fill="auto"/>
            <w:noWrap/>
            <w:hideMark/>
          </w:tcPr>
          <w:p w:rsidR="00AC3F1F" w:rsidRPr="00E74461" w:rsidRDefault="00AC3F1F" w:rsidP="00E74461">
            <w:pPr>
              <w:spacing w:after="0" w:line="240" w:lineRule="auto"/>
              <w:jc w:val="right"/>
              <w:rPr>
                <w:b/>
                <w:bCs/>
                <w:sz w:val="22"/>
                <w:szCs w:val="22"/>
              </w:rPr>
            </w:pPr>
            <w:r>
              <w:rPr>
                <w:b/>
                <w:bCs/>
                <w:sz w:val="22"/>
                <w:szCs w:val="22"/>
              </w:rPr>
              <w:t>8.5</w:t>
            </w:r>
          </w:p>
        </w:tc>
        <w:tc>
          <w:tcPr>
            <w:tcW w:w="1200" w:type="dxa"/>
            <w:tcBorders>
              <w:top w:val="single" w:sz="4" w:space="0" w:color="auto"/>
              <w:left w:val="nil"/>
              <w:bottom w:val="single" w:sz="4" w:space="0" w:color="auto"/>
              <w:right w:val="single" w:sz="4" w:space="0" w:color="auto"/>
            </w:tcBorders>
            <w:shd w:val="clear" w:color="auto" w:fill="auto"/>
            <w:noWrap/>
            <w:hideMark/>
          </w:tcPr>
          <w:p w:rsidR="00AC3F1F" w:rsidRPr="00E74461" w:rsidRDefault="00AC3F1F" w:rsidP="00E74461">
            <w:pPr>
              <w:spacing w:after="0" w:line="240" w:lineRule="auto"/>
              <w:jc w:val="right"/>
              <w:rPr>
                <w:b/>
                <w:bCs/>
                <w:sz w:val="22"/>
                <w:szCs w:val="22"/>
              </w:rPr>
            </w:pPr>
            <w:r>
              <w:rPr>
                <w:b/>
                <w:bCs/>
                <w:sz w:val="22"/>
                <w:szCs w:val="22"/>
              </w:rPr>
              <w:t>10.2</w:t>
            </w:r>
          </w:p>
        </w:tc>
      </w:tr>
      <w:tr w:rsidR="00AC3F1F" w:rsidRPr="00E74461" w:rsidTr="00E74461">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AC3F1F" w:rsidRPr="00E74461" w:rsidRDefault="00AC3F1F" w:rsidP="00E74461">
            <w:pPr>
              <w:spacing w:after="0" w:line="240" w:lineRule="auto"/>
              <w:rPr>
                <w:color w:val="000000"/>
                <w:sz w:val="22"/>
                <w:szCs w:val="22"/>
              </w:rPr>
            </w:pPr>
            <w:r w:rsidRPr="00E74461">
              <w:rPr>
                <w:color w:val="000000"/>
                <w:sz w:val="22"/>
                <w:szCs w:val="22"/>
              </w:rPr>
              <w:t> </w:t>
            </w:r>
          </w:p>
        </w:tc>
        <w:tc>
          <w:tcPr>
            <w:tcW w:w="1200" w:type="dxa"/>
            <w:tcBorders>
              <w:top w:val="nil"/>
              <w:left w:val="single" w:sz="4" w:space="0" w:color="auto"/>
              <w:bottom w:val="single" w:sz="4" w:space="0" w:color="auto"/>
              <w:right w:val="single" w:sz="4" w:space="0" w:color="auto"/>
            </w:tcBorders>
            <w:shd w:val="clear" w:color="auto" w:fill="auto"/>
            <w:noWrap/>
            <w:hideMark/>
          </w:tcPr>
          <w:p w:rsidR="00AC3F1F" w:rsidRPr="00E74461" w:rsidRDefault="00AC3F1F" w:rsidP="00E74461">
            <w:pPr>
              <w:spacing w:after="0" w:line="240" w:lineRule="auto"/>
              <w:rPr>
                <w:b/>
                <w:bCs/>
                <w:sz w:val="22"/>
                <w:szCs w:val="22"/>
              </w:rPr>
            </w:pPr>
            <w:r>
              <w:rPr>
                <w:b/>
                <w:bCs/>
                <w:sz w:val="22"/>
                <w:szCs w:val="22"/>
              </w:rPr>
              <w:t> </w:t>
            </w:r>
          </w:p>
        </w:tc>
        <w:tc>
          <w:tcPr>
            <w:tcW w:w="1200" w:type="dxa"/>
            <w:tcBorders>
              <w:top w:val="nil"/>
              <w:left w:val="nil"/>
              <w:bottom w:val="single" w:sz="4" w:space="0" w:color="auto"/>
              <w:right w:val="single" w:sz="4" w:space="0" w:color="auto"/>
            </w:tcBorders>
            <w:shd w:val="clear" w:color="auto" w:fill="auto"/>
            <w:noWrap/>
            <w:hideMark/>
          </w:tcPr>
          <w:p w:rsidR="00AC3F1F" w:rsidRPr="00E74461" w:rsidRDefault="00AC3F1F" w:rsidP="00E74461">
            <w:pPr>
              <w:spacing w:after="0" w:line="240" w:lineRule="auto"/>
              <w:rPr>
                <w:b/>
                <w:bCs/>
                <w:sz w:val="22"/>
                <w:szCs w:val="22"/>
              </w:rPr>
            </w:pPr>
            <w:r>
              <w:rPr>
                <w:b/>
                <w:bCs/>
                <w:sz w:val="22"/>
                <w:szCs w:val="22"/>
              </w:rPr>
              <w:t> </w:t>
            </w:r>
          </w:p>
        </w:tc>
        <w:tc>
          <w:tcPr>
            <w:tcW w:w="1200" w:type="dxa"/>
            <w:tcBorders>
              <w:top w:val="nil"/>
              <w:left w:val="nil"/>
              <w:bottom w:val="single" w:sz="4" w:space="0" w:color="auto"/>
              <w:right w:val="single" w:sz="4" w:space="0" w:color="auto"/>
            </w:tcBorders>
            <w:shd w:val="clear" w:color="auto" w:fill="auto"/>
            <w:noWrap/>
            <w:hideMark/>
          </w:tcPr>
          <w:p w:rsidR="00AC3F1F" w:rsidRPr="00E74461" w:rsidRDefault="00AC3F1F" w:rsidP="00E74461">
            <w:pPr>
              <w:spacing w:after="0" w:line="240" w:lineRule="auto"/>
              <w:rPr>
                <w:b/>
                <w:bCs/>
                <w:sz w:val="22"/>
                <w:szCs w:val="22"/>
              </w:rPr>
            </w:pPr>
            <w:r>
              <w:rPr>
                <w:b/>
                <w:bCs/>
                <w:sz w:val="22"/>
                <w:szCs w:val="22"/>
              </w:rPr>
              <w:t> </w:t>
            </w:r>
          </w:p>
        </w:tc>
        <w:tc>
          <w:tcPr>
            <w:tcW w:w="1200" w:type="dxa"/>
            <w:tcBorders>
              <w:top w:val="nil"/>
              <w:left w:val="nil"/>
              <w:bottom w:val="single" w:sz="4" w:space="0" w:color="auto"/>
              <w:right w:val="single" w:sz="4" w:space="0" w:color="auto"/>
            </w:tcBorders>
            <w:shd w:val="clear" w:color="auto" w:fill="auto"/>
            <w:noWrap/>
            <w:hideMark/>
          </w:tcPr>
          <w:p w:rsidR="00AC3F1F" w:rsidRPr="00E74461" w:rsidRDefault="00AC3F1F" w:rsidP="00E74461">
            <w:pPr>
              <w:spacing w:after="0" w:line="240" w:lineRule="auto"/>
              <w:rPr>
                <w:b/>
                <w:bCs/>
                <w:sz w:val="22"/>
                <w:szCs w:val="22"/>
              </w:rPr>
            </w:pPr>
            <w:r>
              <w:rPr>
                <w:b/>
                <w:bCs/>
                <w:sz w:val="22"/>
                <w:szCs w:val="22"/>
              </w:rPr>
              <w:t> </w:t>
            </w:r>
          </w:p>
        </w:tc>
      </w:tr>
      <w:tr w:rsidR="00AC3F1F" w:rsidRPr="00E74461" w:rsidTr="00E74461">
        <w:trPr>
          <w:trHeight w:val="570"/>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AC3F1F" w:rsidRPr="00E74461" w:rsidRDefault="00AC3F1F" w:rsidP="00E74461">
            <w:pPr>
              <w:spacing w:after="0" w:line="240" w:lineRule="auto"/>
              <w:rPr>
                <w:color w:val="000000"/>
                <w:sz w:val="22"/>
                <w:szCs w:val="22"/>
              </w:rPr>
            </w:pPr>
            <w:r w:rsidRPr="00E74461">
              <w:rPr>
                <w:color w:val="000000"/>
                <w:sz w:val="22"/>
                <w:szCs w:val="22"/>
              </w:rPr>
              <w:t>Payment into / (Draw from) Budget Flexibility Reserve</w:t>
            </w:r>
          </w:p>
        </w:tc>
        <w:tc>
          <w:tcPr>
            <w:tcW w:w="1200" w:type="dxa"/>
            <w:tcBorders>
              <w:top w:val="nil"/>
              <w:left w:val="single" w:sz="4" w:space="0" w:color="auto"/>
              <w:bottom w:val="single" w:sz="4" w:space="0" w:color="auto"/>
              <w:right w:val="single" w:sz="4" w:space="0" w:color="auto"/>
            </w:tcBorders>
            <w:shd w:val="clear" w:color="auto" w:fill="auto"/>
            <w:noWrap/>
            <w:hideMark/>
          </w:tcPr>
          <w:p w:rsidR="00AC3F1F" w:rsidRPr="00E74461" w:rsidRDefault="00AC3F1F" w:rsidP="00E74461">
            <w:pPr>
              <w:spacing w:after="0" w:line="240" w:lineRule="auto"/>
              <w:jc w:val="right"/>
              <w:rPr>
                <w:sz w:val="22"/>
                <w:szCs w:val="22"/>
              </w:rPr>
            </w:pPr>
            <w:r>
              <w:rPr>
                <w:sz w:val="22"/>
                <w:szCs w:val="22"/>
              </w:rPr>
              <w:t>4.4</w:t>
            </w:r>
          </w:p>
        </w:tc>
        <w:tc>
          <w:tcPr>
            <w:tcW w:w="1200" w:type="dxa"/>
            <w:tcBorders>
              <w:top w:val="nil"/>
              <w:left w:val="nil"/>
              <w:bottom w:val="single" w:sz="4" w:space="0" w:color="auto"/>
              <w:right w:val="single" w:sz="4" w:space="0" w:color="auto"/>
            </w:tcBorders>
            <w:shd w:val="clear" w:color="auto" w:fill="auto"/>
            <w:noWrap/>
            <w:hideMark/>
          </w:tcPr>
          <w:p w:rsidR="00AC3F1F" w:rsidRPr="00E74461" w:rsidRDefault="00AC3F1F" w:rsidP="00E74461">
            <w:pPr>
              <w:spacing w:after="0" w:line="240" w:lineRule="auto"/>
              <w:jc w:val="right"/>
              <w:rPr>
                <w:sz w:val="22"/>
                <w:szCs w:val="22"/>
              </w:rPr>
            </w:pPr>
            <w:r>
              <w:rPr>
                <w:sz w:val="22"/>
                <w:szCs w:val="22"/>
              </w:rPr>
              <w:t>(8.7)</w:t>
            </w:r>
          </w:p>
        </w:tc>
        <w:tc>
          <w:tcPr>
            <w:tcW w:w="1200" w:type="dxa"/>
            <w:tcBorders>
              <w:top w:val="nil"/>
              <w:left w:val="nil"/>
              <w:bottom w:val="single" w:sz="4" w:space="0" w:color="auto"/>
              <w:right w:val="single" w:sz="4" w:space="0" w:color="auto"/>
            </w:tcBorders>
            <w:shd w:val="clear" w:color="auto" w:fill="auto"/>
            <w:noWrap/>
            <w:hideMark/>
          </w:tcPr>
          <w:p w:rsidR="00AC3F1F" w:rsidRPr="00E74461" w:rsidRDefault="00AC3F1F" w:rsidP="00E74461">
            <w:pPr>
              <w:spacing w:after="0" w:line="240" w:lineRule="auto"/>
              <w:jc w:val="right"/>
              <w:rPr>
                <w:sz w:val="22"/>
                <w:szCs w:val="22"/>
              </w:rPr>
            </w:pPr>
            <w:r>
              <w:rPr>
                <w:sz w:val="22"/>
                <w:szCs w:val="22"/>
              </w:rPr>
              <w:t>(8.5)</w:t>
            </w:r>
          </w:p>
        </w:tc>
        <w:tc>
          <w:tcPr>
            <w:tcW w:w="1200" w:type="dxa"/>
            <w:tcBorders>
              <w:top w:val="nil"/>
              <w:left w:val="nil"/>
              <w:bottom w:val="single" w:sz="4" w:space="0" w:color="auto"/>
              <w:right w:val="single" w:sz="4" w:space="0" w:color="auto"/>
            </w:tcBorders>
            <w:shd w:val="clear" w:color="auto" w:fill="auto"/>
            <w:noWrap/>
            <w:hideMark/>
          </w:tcPr>
          <w:p w:rsidR="00AC3F1F" w:rsidRPr="00E74461" w:rsidRDefault="00AC3F1F" w:rsidP="00E74461">
            <w:pPr>
              <w:spacing w:after="0" w:line="240" w:lineRule="auto"/>
              <w:jc w:val="right"/>
              <w:rPr>
                <w:sz w:val="22"/>
                <w:szCs w:val="22"/>
              </w:rPr>
            </w:pPr>
            <w:r>
              <w:rPr>
                <w:sz w:val="22"/>
                <w:szCs w:val="22"/>
              </w:rPr>
              <w:t>(</w:t>
            </w:r>
            <w:r w:rsidR="00070EC9">
              <w:rPr>
                <w:sz w:val="22"/>
                <w:szCs w:val="22"/>
              </w:rPr>
              <w:t>5</w:t>
            </w:r>
            <w:r>
              <w:rPr>
                <w:sz w:val="22"/>
                <w:szCs w:val="22"/>
              </w:rPr>
              <w:t>.</w:t>
            </w:r>
            <w:r w:rsidR="00070EC9">
              <w:rPr>
                <w:sz w:val="22"/>
                <w:szCs w:val="22"/>
              </w:rPr>
              <w:t>8</w:t>
            </w:r>
            <w:r>
              <w:rPr>
                <w:sz w:val="22"/>
                <w:szCs w:val="22"/>
              </w:rPr>
              <w:t>)</w:t>
            </w:r>
          </w:p>
        </w:tc>
      </w:tr>
      <w:tr w:rsidR="00AC3F1F" w:rsidRPr="00E74461" w:rsidTr="00E74461">
        <w:trPr>
          <w:trHeight w:val="285"/>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AC3F1F" w:rsidRPr="00E74461" w:rsidRDefault="00AC3F1F" w:rsidP="00E74461">
            <w:pPr>
              <w:spacing w:after="0" w:line="240" w:lineRule="auto"/>
              <w:rPr>
                <w:color w:val="000000"/>
                <w:sz w:val="22"/>
                <w:szCs w:val="22"/>
              </w:rPr>
            </w:pPr>
            <w:r w:rsidRPr="00E74461">
              <w:rPr>
                <w:color w:val="000000"/>
                <w:sz w:val="22"/>
                <w:szCs w:val="22"/>
              </w:rPr>
              <w:t>Budget Flexibility Reserve Balance </w:t>
            </w:r>
          </w:p>
        </w:tc>
        <w:tc>
          <w:tcPr>
            <w:tcW w:w="1200" w:type="dxa"/>
            <w:tcBorders>
              <w:top w:val="nil"/>
              <w:left w:val="single" w:sz="4" w:space="0" w:color="auto"/>
              <w:bottom w:val="single" w:sz="4" w:space="0" w:color="auto"/>
              <w:right w:val="single" w:sz="4" w:space="0" w:color="auto"/>
            </w:tcBorders>
            <w:shd w:val="clear" w:color="auto" w:fill="auto"/>
            <w:noWrap/>
            <w:hideMark/>
          </w:tcPr>
          <w:p w:rsidR="00AC3F1F" w:rsidRPr="00E74461" w:rsidRDefault="00AC3F1F" w:rsidP="00E74461">
            <w:pPr>
              <w:spacing w:after="0" w:line="240" w:lineRule="auto"/>
              <w:jc w:val="right"/>
              <w:rPr>
                <w:sz w:val="22"/>
                <w:szCs w:val="22"/>
              </w:rPr>
            </w:pPr>
            <w:r>
              <w:rPr>
                <w:sz w:val="22"/>
                <w:szCs w:val="22"/>
              </w:rPr>
              <w:t>23.</w:t>
            </w:r>
            <w:r w:rsidR="00070EC9">
              <w:rPr>
                <w:sz w:val="22"/>
                <w:szCs w:val="22"/>
              </w:rPr>
              <w:t>1</w:t>
            </w:r>
          </w:p>
        </w:tc>
        <w:tc>
          <w:tcPr>
            <w:tcW w:w="1200" w:type="dxa"/>
            <w:tcBorders>
              <w:top w:val="nil"/>
              <w:left w:val="nil"/>
              <w:bottom w:val="single" w:sz="4" w:space="0" w:color="auto"/>
              <w:right w:val="single" w:sz="4" w:space="0" w:color="auto"/>
            </w:tcBorders>
            <w:shd w:val="clear" w:color="auto" w:fill="auto"/>
            <w:noWrap/>
            <w:hideMark/>
          </w:tcPr>
          <w:p w:rsidR="00AC3F1F" w:rsidRPr="00E74461" w:rsidRDefault="00AC3F1F" w:rsidP="00E74461">
            <w:pPr>
              <w:spacing w:after="0" w:line="240" w:lineRule="auto"/>
              <w:jc w:val="right"/>
              <w:rPr>
                <w:sz w:val="22"/>
                <w:szCs w:val="22"/>
              </w:rPr>
            </w:pPr>
            <w:r>
              <w:rPr>
                <w:sz w:val="22"/>
                <w:szCs w:val="22"/>
              </w:rPr>
              <w:t>14.</w:t>
            </w:r>
            <w:r w:rsidR="00070EC9">
              <w:rPr>
                <w:sz w:val="22"/>
                <w:szCs w:val="22"/>
              </w:rPr>
              <w:t>4</w:t>
            </w:r>
          </w:p>
        </w:tc>
        <w:tc>
          <w:tcPr>
            <w:tcW w:w="1200" w:type="dxa"/>
            <w:tcBorders>
              <w:top w:val="nil"/>
              <w:left w:val="nil"/>
              <w:bottom w:val="single" w:sz="4" w:space="0" w:color="auto"/>
              <w:right w:val="single" w:sz="4" w:space="0" w:color="auto"/>
            </w:tcBorders>
            <w:shd w:val="clear" w:color="auto" w:fill="auto"/>
            <w:noWrap/>
            <w:hideMark/>
          </w:tcPr>
          <w:p w:rsidR="00AC3F1F" w:rsidRPr="00E74461" w:rsidRDefault="00070EC9" w:rsidP="00E74461">
            <w:pPr>
              <w:spacing w:after="0" w:line="240" w:lineRule="auto"/>
              <w:jc w:val="right"/>
              <w:rPr>
                <w:sz w:val="22"/>
                <w:szCs w:val="22"/>
              </w:rPr>
            </w:pPr>
            <w:r>
              <w:rPr>
                <w:sz w:val="22"/>
                <w:szCs w:val="22"/>
              </w:rPr>
              <w:t>5</w:t>
            </w:r>
            <w:r w:rsidR="00AC3F1F">
              <w:rPr>
                <w:sz w:val="22"/>
                <w:szCs w:val="22"/>
              </w:rPr>
              <w:t>.</w:t>
            </w:r>
            <w:r>
              <w:rPr>
                <w:sz w:val="22"/>
                <w:szCs w:val="22"/>
              </w:rPr>
              <w:t>8</w:t>
            </w:r>
          </w:p>
        </w:tc>
        <w:tc>
          <w:tcPr>
            <w:tcW w:w="1200" w:type="dxa"/>
            <w:tcBorders>
              <w:top w:val="nil"/>
              <w:left w:val="nil"/>
              <w:bottom w:val="single" w:sz="4" w:space="0" w:color="auto"/>
              <w:right w:val="single" w:sz="4" w:space="0" w:color="auto"/>
            </w:tcBorders>
            <w:shd w:val="clear" w:color="auto" w:fill="auto"/>
            <w:noWrap/>
            <w:hideMark/>
          </w:tcPr>
          <w:p w:rsidR="00AC3F1F" w:rsidRPr="00E74461" w:rsidRDefault="00AC3F1F" w:rsidP="00E74461">
            <w:pPr>
              <w:spacing w:after="0" w:line="240" w:lineRule="auto"/>
              <w:jc w:val="right"/>
              <w:rPr>
                <w:sz w:val="22"/>
                <w:szCs w:val="22"/>
              </w:rPr>
            </w:pPr>
            <w:r>
              <w:rPr>
                <w:sz w:val="22"/>
                <w:szCs w:val="22"/>
              </w:rPr>
              <w:t>0.0</w:t>
            </w:r>
          </w:p>
        </w:tc>
      </w:tr>
      <w:tr w:rsidR="00AC3F1F" w:rsidRPr="00E74461" w:rsidTr="00E74461">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AC3F1F" w:rsidRPr="00E74461" w:rsidRDefault="00AC3F1F" w:rsidP="00E74461">
            <w:pPr>
              <w:spacing w:after="0" w:line="240" w:lineRule="auto"/>
              <w:rPr>
                <w:color w:val="000000"/>
                <w:sz w:val="22"/>
                <w:szCs w:val="22"/>
              </w:rPr>
            </w:pPr>
            <w:r w:rsidRPr="00E74461">
              <w:rPr>
                <w:color w:val="000000"/>
                <w:sz w:val="22"/>
                <w:szCs w:val="22"/>
              </w:rPr>
              <w:t> </w:t>
            </w:r>
          </w:p>
        </w:tc>
        <w:tc>
          <w:tcPr>
            <w:tcW w:w="1200" w:type="dxa"/>
            <w:tcBorders>
              <w:top w:val="nil"/>
              <w:left w:val="single" w:sz="4" w:space="0" w:color="auto"/>
              <w:bottom w:val="single" w:sz="4" w:space="0" w:color="auto"/>
              <w:right w:val="single" w:sz="4" w:space="0" w:color="auto"/>
            </w:tcBorders>
            <w:shd w:val="clear" w:color="auto" w:fill="auto"/>
            <w:noWrap/>
            <w:hideMark/>
          </w:tcPr>
          <w:p w:rsidR="00AC3F1F" w:rsidRPr="00E74461" w:rsidRDefault="00AC3F1F" w:rsidP="00E74461">
            <w:pPr>
              <w:spacing w:after="0" w:line="240" w:lineRule="auto"/>
              <w:rPr>
                <w:b/>
                <w:bCs/>
                <w:sz w:val="22"/>
                <w:szCs w:val="22"/>
              </w:rPr>
            </w:pPr>
            <w:r>
              <w:rPr>
                <w:b/>
                <w:bCs/>
                <w:sz w:val="22"/>
                <w:szCs w:val="22"/>
              </w:rPr>
              <w:t> </w:t>
            </w:r>
          </w:p>
        </w:tc>
        <w:tc>
          <w:tcPr>
            <w:tcW w:w="1200" w:type="dxa"/>
            <w:tcBorders>
              <w:top w:val="nil"/>
              <w:left w:val="nil"/>
              <w:bottom w:val="single" w:sz="4" w:space="0" w:color="auto"/>
              <w:right w:val="single" w:sz="4" w:space="0" w:color="auto"/>
            </w:tcBorders>
            <w:shd w:val="clear" w:color="auto" w:fill="auto"/>
            <w:noWrap/>
            <w:hideMark/>
          </w:tcPr>
          <w:p w:rsidR="00AC3F1F" w:rsidRPr="00E74461" w:rsidRDefault="00AC3F1F" w:rsidP="00E74461">
            <w:pPr>
              <w:spacing w:after="0" w:line="240" w:lineRule="auto"/>
              <w:rPr>
                <w:b/>
                <w:bCs/>
                <w:sz w:val="22"/>
                <w:szCs w:val="22"/>
              </w:rPr>
            </w:pPr>
            <w:r>
              <w:rPr>
                <w:b/>
                <w:bCs/>
                <w:sz w:val="22"/>
                <w:szCs w:val="22"/>
              </w:rPr>
              <w:t> </w:t>
            </w:r>
          </w:p>
        </w:tc>
        <w:tc>
          <w:tcPr>
            <w:tcW w:w="1200" w:type="dxa"/>
            <w:tcBorders>
              <w:top w:val="nil"/>
              <w:left w:val="nil"/>
              <w:bottom w:val="single" w:sz="4" w:space="0" w:color="auto"/>
              <w:right w:val="single" w:sz="4" w:space="0" w:color="auto"/>
            </w:tcBorders>
            <w:shd w:val="clear" w:color="auto" w:fill="auto"/>
            <w:noWrap/>
            <w:hideMark/>
          </w:tcPr>
          <w:p w:rsidR="00AC3F1F" w:rsidRPr="00E74461" w:rsidRDefault="00AC3F1F" w:rsidP="00E74461">
            <w:pPr>
              <w:spacing w:after="0" w:line="240" w:lineRule="auto"/>
              <w:rPr>
                <w:b/>
                <w:bCs/>
                <w:sz w:val="22"/>
                <w:szCs w:val="22"/>
              </w:rPr>
            </w:pPr>
            <w:r>
              <w:rPr>
                <w:b/>
                <w:bCs/>
                <w:sz w:val="22"/>
                <w:szCs w:val="22"/>
              </w:rPr>
              <w:t> </w:t>
            </w:r>
          </w:p>
        </w:tc>
        <w:tc>
          <w:tcPr>
            <w:tcW w:w="1200" w:type="dxa"/>
            <w:tcBorders>
              <w:top w:val="nil"/>
              <w:left w:val="nil"/>
              <w:bottom w:val="single" w:sz="4" w:space="0" w:color="auto"/>
              <w:right w:val="single" w:sz="4" w:space="0" w:color="auto"/>
            </w:tcBorders>
            <w:shd w:val="clear" w:color="auto" w:fill="auto"/>
            <w:noWrap/>
            <w:hideMark/>
          </w:tcPr>
          <w:p w:rsidR="00AC3F1F" w:rsidRPr="00E74461" w:rsidRDefault="00AC3F1F" w:rsidP="00E74461">
            <w:pPr>
              <w:spacing w:after="0" w:line="240" w:lineRule="auto"/>
              <w:rPr>
                <w:b/>
                <w:bCs/>
                <w:sz w:val="22"/>
                <w:szCs w:val="22"/>
              </w:rPr>
            </w:pPr>
            <w:r>
              <w:rPr>
                <w:b/>
                <w:bCs/>
                <w:sz w:val="22"/>
                <w:szCs w:val="22"/>
              </w:rPr>
              <w:t> </w:t>
            </w:r>
          </w:p>
        </w:tc>
      </w:tr>
      <w:tr w:rsidR="00AC3F1F" w:rsidRPr="00E74461" w:rsidTr="00E74461">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AC3F1F" w:rsidRPr="00E74461" w:rsidRDefault="00AC3F1F" w:rsidP="00E74461">
            <w:pPr>
              <w:spacing w:after="0" w:line="240" w:lineRule="auto"/>
              <w:rPr>
                <w:b/>
                <w:bCs/>
                <w:color w:val="000000"/>
                <w:sz w:val="22"/>
                <w:szCs w:val="22"/>
              </w:rPr>
            </w:pPr>
            <w:r w:rsidRPr="00E74461">
              <w:rPr>
                <w:b/>
                <w:bCs/>
                <w:color w:val="000000"/>
                <w:sz w:val="22"/>
                <w:szCs w:val="22"/>
              </w:rPr>
              <w:t>Revised Budget Gap</w:t>
            </w:r>
          </w:p>
        </w:tc>
        <w:tc>
          <w:tcPr>
            <w:tcW w:w="1200" w:type="dxa"/>
            <w:tcBorders>
              <w:top w:val="nil"/>
              <w:left w:val="single" w:sz="4" w:space="0" w:color="auto"/>
              <w:bottom w:val="single" w:sz="4" w:space="0" w:color="auto"/>
              <w:right w:val="single" w:sz="4" w:space="0" w:color="auto"/>
            </w:tcBorders>
            <w:shd w:val="clear" w:color="auto" w:fill="auto"/>
            <w:noWrap/>
            <w:hideMark/>
          </w:tcPr>
          <w:p w:rsidR="00AC3F1F" w:rsidRPr="00E74461" w:rsidRDefault="00AC3F1F" w:rsidP="00E74461">
            <w:pPr>
              <w:spacing w:after="0" w:line="240" w:lineRule="auto"/>
              <w:jc w:val="right"/>
              <w:rPr>
                <w:b/>
                <w:bCs/>
                <w:sz w:val="22"/>
                <w:szCs w:val="22"/>
              </w:rPr>
            </w:pPr>
            <w:r>
              <w:rPr>
                <w:b/>
                <w:bCs/>
                <w:sz w:val="22"/>
                <w:szCs w:val="22"/>
              </w:rPr>
              <w:t>0.0</w:t>
            </w:r>
          </w:p>
        </w:tc>
        <w:tc>
          <w:tcPr>
            <w:tcW w:w="1200" w:type="dxa"/>
            <w:tcBorders>
              <w:top w:val="nil"/>
              <w:left w:val="nil"/>
              <w:bottom w:val="single" w:sz="4" w:space="0" w:color="auto"/>
              <w:right w:val="single" w:sz="4" w:space="0" w:color="auto"/>
            </w:tcBorders>
            <w:shd w:val="clear" w:color="auto" w:fill="auto"/>
            <w:noWrap/>
            <w:hideMark/>
          </w:tcPr>
          <w:p w:rsidR="00AC3F1F" w:rsidRPr="00E74461" w:rsidRDefault="00AC3F1F" w:rsidP="00E74461">
            <w:pPr>
              <w:spacing w:after="0" w:line="240" w:lineRule="auto"/>
              <w:jc w:val="right"/>
              <w:rPr>
                <w:b/>
                <w:bCs/>
                <w:sz w:val="22"/>
                <w:szCs w:val="22"/>
              </w:rPr>
            </w:pPr>
            <w:r>
              <w:rPr>
                <w:b/>
                <w:bCs/>
                <w:sz w:val="22"/>
                <w:szCs w:val="22"/>
              </w:rPr>
              <w:t>0.0</w:t>
            </w:r>
          </w:p>
        </w:tc>
        <w:tc>
          <w:tcPr>
            <w:tcW w:w="1200" w:type="dxa"/>
            <w:tcBorders>
              <w:top w:val="nil"/>
              <w:left w:val="nil"/>
              <w:bottom w:val="single" w:sz="4" w:space="0" w:color="auto"/>
              <w:right w:val="single" w:sz="4" w:space="0" w:color="auto"/>
            </w:tcBorders>
            <w:shd w:val="clear" w:color="auto" w:fill="auto"/>
            <w:noWrap/>
            <w:hideMark/>
          </w:tcPr>
          <w:p w:rsidR="00AC3F1F" w:rsidRPr="00E74461" w:rsidRDefault="00AC3F1F" w:rsidP="00E74461">
            <w:pPr>
              <w:spacing w:after="0" w:line="240" w:lineRule="auto"/>
              <w:jc w:val="right"/>
              <w:rPr>
                <w:b/>
                <w:bCs/>
                <w:sz w:val="22"/>
                <w:szCs w:val="22"/>
              </w:rPr>
            </w:pPr>
            <w:r>
              <w:rPr>
                <w:b/>
                <w:bCs/>
                <w:sz w:val="22"/>
                <w:szCs w:val="22"/>
              </w:rPr>
              <w:t>0.0</w:t>
            </w:r>
          </w:p>
        </w:tc>
        <w:tc>
          <w:tcPr>
            <w:tcW w:w="1200" w:type="dxa"/>
            <w:tcBorders>
              <w:top w:val="nil"/>
              <w:left w:val="nil"/>
              <w:bottom w:val="single" w:sz="4" w:space="0" w:color="auto"/>
              <w:right w:val="single" w:sz="4" w:space="0" w:color="auto"/>
            </w:tcBorders>
            <w:shd w:val="clear" w:color="auto" w:fill="auto"/>
            <w:noWrap/>
            <w:hideMark/>
          </w:tcPr>
          <w:p w:rsidR="00AC3F1F" w:rsidRPr="00E74461" w:rsidRDefault="00AC3F1F" w:rsidP="00E74461">
            <w:pPr>
              <w:spacing w:after="0" w:line="240" w:lineRule="auto"/>
              <w:jc w:val="right"/>
              <w:rPr>
                <w:b/>
                <w:bCs/>
                <w:sz w:val="22"/>
                <w:szCs w:val="22"/>
              </w:rPr>
            </w:pPr>
            <w:r>
              <w:rPr>
                <w:b/>
                <w:bCs/>
                <w:sz w:val="22"/>
                <w:szCs w:val="22"/>
              </w:rPr>
              <w:t>4.</w:t>
            </w:r>
            <w:r w:rsidR="00070EC9">
              <w:rPr>
                <w:b/>
                <w:bCs/>
                <w:sz w:val="22"/>
                <w:szCs w:val="22"/>
              </w:rPr>
              <w:t>4</w:t>
            </w:r>
          </w:p>
        </w:tc>
      </w:tr>
    </w:tbl>
    <w:p w:rsidR="000C3ADD" w:rsidRDefault="000C3ADD" w:rsidP="008F25D4">
      <w:pPr>
        <w:pStyle w:val="NumbList"/>
      </w:pPr>
    </w:p>
    <w:p w:rsidR="00C365C5" w:rsidRPr="00C365C5" w:rsidRDefault="00C365C5" w:rsidP="00EB3F84">
      <w:pPr>
        <w:pStyle w:val="NumbList"/>
        <w:spacing w:after="0" w:line="0" w:lineRule="atLeast"/>
        <w:contextualSpacing/>
        <w:rPr>
          <w:rFonts w:ascii="FoundrySansDemi" w:hAnsi="FoundrySansDemi"/>
        </w:rPr>
      </w:pPr>
      <w:r w:rsidRPr="00C365C5">
        <w:rPr>
          <w:rFonts w:ascii="FoundrySansDemi" w:hAnsi="FoundrySansDemi"/>
        </w:rPr>
        <w:t>Capital Programme</w:t>
      </w:r>
    </w:p>
    <w:p w:rsidR="00FE2F50" w:rsidRDefault="00FE2F50" w:rsidP="00891003">
      <w:pPr>
        <w:pStyle w:val="NumbList"/>
        <w:numPr>
          <w:ilvl w:val="0"/>
          <w:numId w:val="72"/>
        </w:numPr>
        <w:ind w:left="426" w:hanging="426"/>
      </w:pPr>
      <w:r w:rsidRPr="007218CA">
        <w:t xml:space="preserve">The </w:t>
      </w:r>
      <w:r w:rsidR="002B4ED3">
        <w:t xml:space="preserve">provisional </w:t>
      </w:r>
      <w:r w:rsidRPr="007218CA">
        <w:t xml:space="preserve">outturn position for 2017/18 on the </w:t>
      </w:r>
      <w:r>
        <w:t>capital</w:t>
      </w:r>
      <w:r w:rsidRPr="007218CA">
        <w:t xml:space="preserve"> </w:t>
      </w:r>
      <w:r>
        <w:t xml:space="preserve">programme, before the </w:t>
      </w:r>
      <w:r w:rsidR="00432DC9">
        <w:t>application of the year end</w:t>
      </w:r>
      <w:r>
        <w:t xml:space="preserve"> allowance for over-programming, </w:t>
      </w:r>
      <w:r w:rsidRPr="007218CA">
        <w:t xml:space="preserve"> is an underspend of </w:t>
      </w:r>
      <w:r>
        <w:t>£15,235k. This is an increase of £6,433k from the underspend posi</w:t>
      </w:r>
      <w:r w:rsidR="006D56BA">
        <w:t>tion reported as at the end of Q</w:t>
      </w:r>
      <w:r>
        <w:t xml:space="preserve">uarter 3 </w:t>
      </w:r>
      <w:r w:rsidRPr="00113D7A">
        <w:rPr>
          <w:rFonts w:eastAsiaTheme="minorHAnsi"/>
          <w:lang w:eastAsia="en-US"/>
        </w:rPr>
        <w:t>(FEP2709)</w:t>
      </w:r>
      <w:r w:rsidR="002473E0">
        <w:t xml:space="preserve">. </w:t>
      </w:r>
      <w:r>
        <w:t xml:space="preserve">This is due to </w:t>
      </w:r>
      <w:r w:rsidRPr="00844D54">
        <w:t xml:space="preserve">budget re-phasing to 2018/19 </w:t>
      </w:r>
      <w:r>
        <w:t xml:space="preserve">of </w:t>
      </w:r>
      <w:r w:rsidRPr="00844D54">
        <w:t>£6,252k</w:t>
      </w:r>
      <w:r>
        <w:t>,</w:t>
      </w:r>
      <w:r w:rsidRPr="00844D54">
        <w:t xml:space="preserve"> </w:t>
      </w:r>
      <w:r w:rsidRPr="00113D7A">
        <w:rPr>
          <w:rFonts w:eastAsiaTheme="minorHAnsi"/>
          <w:lang w:eastAsia="en-US"/>
        </w:rPr>
        <w:t xml:space="preserve">mainly on Pumping Appliances and Fleet &amp; Equipment replacement </w:t>
      </w:r>
      <w:r w:rsidR="00432DC9">
        <w:rPr>
          <w:rFonts w:eastAsiaTheme="minorHAnsi"/>
          <w:lang w:eastAsia="en-US"/>
        </w:rPr>
        <w:t>(</w:t>
      </w:r>
      <w:r w:rsidRPr="00113D7A">
        <w:rPr>
          <w:rFonts w:eastAsiaTheme="minorHAnsi"/>
          <w:lang w:eastAsia="en-US"/>
        </w:rPr>
        <w:t>£1,986k</w:t>
      </w:r>
      <w:r w:rsidR="00432DC9">
        <w:rPr>
          <w:rFonts w:eastAsiaTheme="minorHAnsi"/>
          <w:lang w:eastAsia="en-US"/>
        </w:rPr>
        <w:t>)</w:t>
      </w:r>
      <w:r w:rsidRPr="00113D7A">
        <w:rPr>
          <w:rFonts w:eastAsiaTheme="minorHAnsi"/>
          <w:lang w:eastAsia="en-US"/>
        </w:rPr>
        <w:t xml:space="preserve">, Vehicle Security </w:t>
      </w:r>
      <w:r w:rsidR="00432DC9">
        <w:rPr>
          <w:rFonts w:eastAsiaTheme="minorHAnsi"/>
          <w:lang w:eastAsia="en-US"/>
        </w:rPr>
        <w:t>(</w:t>
      </w:r>
      <w:r w:rsidRPr="00113D7A">
        <w:rPr>
          <w:rFonts w:eastAsiaTheme="minorHAnsi"/>
          <w:lang w:eastAsia="en-US"/>
        </w:rPr>
        <w:t>£1,333k</w:t>
      </w:r>
      <w:r w:rsidR="00432DC9">
        <w:rPr>
          <w:rFonts w:eastAsiaTheme="minorHAnsi"/>
          <w:lang w:eastAsia="en-US"/>
        </w:rPr>
        <w:t>)</w:t>
      </w:r>
      <w:r w:rsidRPr="00113D7A">
        <w:rPr>
          <w:rFonts w:eastAsiaTheme="minorHAnsi"/>
          <w:lang w:eastAsia="en-US"/>
        </w:rPr>
        <w:t xml:space="preserve">, Water hose and reels </w:t>
      </w:r>
      <w:r w:rsidR="00432DC9">
        <w:rPr>
          <w:rFonts w:eastAsiaTheme="minorHAnsi"/>
          <w:lang w:eastAsia="en-US"/>
        </w:rPr>
        <w:t>(</w:t>
      </w:r>
      <w:r w:rsidRPr="00113D7A">
        <w:rPr>
          <w:rFonts w:eastAsiaTheme="minorHAnsi"/>
          <w:lang w:eastAsia="en-US"/>
        </w:rPr>
        <w:t>£1,014k</w:t>
      </w:r>
      <w:r w:rsidR="00432DC9">
        <w:rPr>
          <w:rFonts w:eastAsiaTheme="minorHAnsi"/>
          <w:lang w:eastAsia="en-US"/>
        </w:rPr>
        <w:t>)</w:t>
      </w:r>
      <w:r w:rsidRPr="00113D7A">
        <w:rPr>
          <w:rFonts w:eastAsiaTheme="minorHAnsi"/>
          <w:lang w:eastAsia="en-US"/>
        </w:rPr>
        <w:t xml:space="preserve"> and on a number of other projects</w:t>
      </w:r>
      <w:r w:rsidRPr="00844D54">
        <w:t xml:space="preserve"> and </w:t>
      </w:r>
      <w:r>
        <w:t>b</w:t>
      </w:r>
      <w:r w:rsidRPr="00844D54">
        <w:t xml:space="preserve">udget </w:t>
      </w:r>
      <w:r>
        <w:t>s</w:t>
      </w:r>
      <w:r w:rsidRPr="00844D54">
        <w:t xml:space="preserve">avings </w:t>
      </w:r>
      <w:r w:rsidR="00432DC9">
        <w:t>(</w:t>
      </w:r>
      <w:r w:rsidRPr="00844D54">
        <w:t>£506k</w:t>
      </w:r>
      <w:r w:rsidR="00432DC9">
        <w:t>)</w:t>
      </w:r>
      <w:r>
        <w:t>. This was offset by £325k for new budget requirements</w:t>
      </w:r>
      <w:r w:rsidRPr="00FE2F50">
        <w:rPr>
          <w:rFonts w:eastAsiaTheme="minorHAnsi"/>
          <w:lang w:eastAsia="en-US"/>
        </w:rPr>
        <w:t xml:space="preserve"> </w:t>
      </w:r>
      <w:r w:rsidRPr="00113D7A">
        <w:rPr>
          <w:rFonts w:eastAsiaTheme="minorHAnsi"/>
          <w:lang w:eastAsia="en-US"/>
        </w:rPr>
        <w:t>made up of Minor works for Heston and Paddington Fire Stations (£121k) and fees relating to the disposal of surplus assets (£204k).</w:t>
      </w:r>
    </w:p>
    <w:p w:rsidR="00FE2F50" w:rsidRPr="00E501FF" w:rsidRDefault="00FE2F50" w:rsidP="000E2E68">
      <w:pPr>
        <w:pStyle w:val="NumbList"/>
        <w:numPr>
          <w:ilvl w:val="0"/>
          <w:numId w:val="72"/>
        </w:numPr>
        <w:ind w:left="426" w:hanging="426"/>
        <w:rPr>
          <w:rFonts w:eastAsiaTheme="minorHAnsi"/>
          <w:lang w:eastAsia="en-US"/>
        </w:rPr>
      </w:pPr>
      <w:r>
        <w:t xml:space="preserve">The remaining over-programming allowance in 2017/18 of £7,106k has also now been applied </w:t>
      </w:r>
      <w:r w:rsidR="00432DC9">
        <w:t>at year end</w:t>
      </w:r>
      <w:r>
        <w:t>, which has reduced the overall budget and reduced the outturn variance to an underspend of £8,129k. After accounting for this the total movement in the outturn variance is for a small increase in spend of £673k.</w:t>
      </w:r>
    </w:p>
    <w:p w:rsidR="000E2816" w:rsidRPr="0017737B" w:rsidRDefault="006F22BB" w:rsidP="0056077F">
      <w:pPr>
        <w:pStyle w:val="NumbList"/>
        <w:ind w:left="426" w:hanging="426"/>
        <w:rPr>
          <w:rFonts w:eastAsiaTheme="minorHAnsi"/>
          <w:b/>
          <w:bCs/>
          <w:u w:val="single"/>
          <w:lang w:eastAsia="en-US"/>
        </w:rPr>
      </w:pPr>
      <w:r w:rsidRPr="0017737B">
        <w:rPr>
          <w:rFonts w:eastAsiaTheme="minorHAnsi"/>
          <w:b/>
          <w:bCs/>
          <w:u w:val="single"/>
          <w:lang w:eastAsia="en-US"/>
        </w:rPr>
        <w:t>Budget</w:t>
      </w:r>
      <w:r w:rsidR="00634FAF" w:rsidRPr="0017737B">
        <w:rPr>
          <w:rFonts w:eastAsiaTheme="minorHAnsi"/>
          <w:b/>
          <w:bCs/>
          <w:u w:val="single"/>
          <w:lang w:eastAsia="en-US"/>
        </w:rPr>
        <w:t xml:space="preserve"> </w:t>
      </w:r>
      <w:r w:rsidR="009B0A07" w:rsidRPr="0017737B">
        <w:rPr>
          <w:rFonts w:eastAsiaTheme="minorHAnsi"/>
          <w:b/>
          <w:bCs/>
          <w:u w:val="single"/>
          <w:lang w:eastAsia="en-US"/>
        </w:rPr>
        <w:t>re</w:t>
      </w:r>
      <w:r w:rsidR="00634FAF" w:rsidRPr="0017737B">
        <w:rPr>
          <w:rFonts w:eastAsiaTheme="minorHAnsi"/>
          <w:b/>
          <w:bCs/>
          <w:u w:val="single"/>
          <w:lang w:eastAsia="en-US"/>
        </w:rPr>
        <w:t>-</w:t>
      </w:r>
      <w:r w:rsidR="009B0A07" w:rsidRPr="0017737B">
        <w:rPr>
          <w:rFonts w:eastAsiaTheme="minorHAnsi"/>
          <w:b/>
          <w:bCs/>
          <w:u w:val="single"/>
          <w:lang w:eastAsia="en-US"/>
        </w:rPr>
        <w:t>phased to 2018/19 – (£</w:t>
      </w:r>
      <w:r w:rsidRPr="0017737B">
        <w:rPr>
          <w:rFonts w:eastAsiaTheme="minorHAnsi"/>
          <w:b/>
          <w:bCs/>
          <w:u w:val="single"/>
          <w:lang w:eastAsia="en-US"/>
        </w:rPr>
        <w:t>6,252</w:t>
      </w:r>
      <w:r w:rsidR="009B0A07" w:rsidRPr="0017737B">
        <w:rPr>
          <w:rFonts w:eastAsiaTheme="minorHAnsi"/>
          <w:b/>
          <w:bCs/>
          <w:u w:val="single"/>
          <w:lang w:eastAsia="en-US"/>
        </w:rPr>
        <w:t>k)</w:t>
      </w:r>
    </w:p>
    <w:p w:rsidR="000E2816" w:rsidRDefault="000E2816" w:rsidP="000E2E68">
      <w:pPr>
        <w:pStyle w:val="NumbList"/>
        <w:numPr>
          <w:ilvl w:val="0"/>
          <w:numId w:val="72"/>
        </w:numPr>
        <w:ind w:left="426" w:hanging="426"/>
        <w:rPr>
          <w:rFonts w:eastAsiaTheme="minorHAnsi"/>
          <w:lang w:eastAsia="en-US"/>
        </w:rPr>
      </w:pPr>
      <w:r>
        <w:rPr>
          <w:rFonts w:eastAsiaTheme="minorHAnsi"/>
          <w:lang w:eastAsia="en-US"/>
        </w:rPr>
        <w:t xml:space="preserve">The main Budget </w:t>
      </w:r>
      <w:r w:rsidR="00037DF7">
        <w:rPr>
          <w:rFonts w:eastAsiaTheme="minorHAnsi"/>
          <w:lang w:eastAsia="en-US"/>
        </w:rPr>
        <w:t xml:space="preserve">items  </w:t>
      </w:r>
      <w:r>
        <w:rPr>
          <w:rFonts w:eastAsiaTheme="minorHAnsi"/>
          <w:lang w:eastAsia="en-US"/>
        </w:rPr>
        <w:t>re-phased to 2018/19 are discussed in more detail below:</w:t>
      </w:r>
    </w:p>
    <w:p w:rsidR="006F22BB" w:rsidRPr="006F22BB" w:rsidRDefault="006F22BB" w:rsidP="000E2E68">
      <w:pPr>
        <w:pStyle w:val="NumbList"/>
        <w:numPr>
          <w:ilvl w:val="0"/>
          <w:numId w:val="72"/>
        </w:numPr>
        <w:ind w:left="426" w:hanging="426"/>
        <w:rPr>
          <w:rFonts w:eastAsiaTheme="minorHAnsi"/>
          <w:lang w:eastAsia="en-US"/>
        </w:rPr>
      </w:pPr>
      <w:r w:rsidRPr="006F22BB">
        <w:rPr>
          <w:rFonts w:eastAsiaTheme="minorHAnsi"/>
          <w:lang w:eastAsia="en-US"/>
        </w:rPr>
        <w:t xml:space="preserve">Fleet Replacement  Project - The stage payments for the 2nd batch of pumping appliances have been re-phased following changes in the programme rollout. This has resulted in £480k </w:t>
      </w:r>
      <w:r w:rsidR="00645166">
        <w:rPr>
          <w:rFonts w:eastAsiaTheme="minorHAnsi"/>
          <w:lang w:eastAsia="en-US"/>
        </w:rPr>
        <w:t>being deferred to 2018/19.</w:t>
      </w:r>
      <w:r w:rsidRPr="006F22BB">
        <w:rPr>
          <w:rFonts w:eastAsiaTheme="minorHAnsi"/>
          <w:lang w:eastAsia="en-US"/>
        </w:rPr>
        <w:t xml:space="preserve"> In addition</w:t>
      </w:r>
      <w:r w:rsidR="00645166">
        <w:rPr>
          <w:rFonts w:eastAsiaTheme="minorHAnsi"/>
          <w:lang w:eastAsia="en-US"/>
        </w:rPr>
        <w:t>,</w:t>
      </w:r>
      <w:r w:rsidRPr="006F22BB">
        <w:rPr>
          <w:rFonts w:eastAsiaTheme="minorHAnsi"/>
          <w:lang w:eastAsia="en-US"/>
        </w:rPr>
        <w:t xml:space="preserve"> based on the current delivery times for the new equipment, £1,506k has been carried forward to 2018/19, of this £1,259k will fund the new Battery Powered Combi and Dedicated Cutter Tools for frontline and reserve Mercedes Series 1, 2 and 3 pump</w:t>
      </w:r>
      <w:r w:rsidR="00645166">
        <w:rPr>
          <w:rFonts w:eastAsiaTheme="minorHAnsi"/>
          <w:lang w:eastAsia="en-US"/>
        </w:rPr>
        <w:t xml:space="preserve">ing appliances. </w:t>
      </w:r>
      <w:r w:rsidRPr="006F22BB">
        <w:rPr>
          <w:rFonts w:eastAsiaTheme="minorHAnsi"/>
          <w:lang w:eastAsia="en-US"/>
        </w:rPr>
        <w:t xml:space="preserve">There have been a number of delays in the project around costings, </w:t>
      </w:r>
      <w:r w:rsidR="00037DF7">
        <w:rPr>
          <w:rFonts w:eastAsiaTheme="minorHAnsi"/>
          <w:lang w:eastAsia="en-US"/>
        </w:rPr>
        <w:t xml:space="preserve">and </w:t>
      </w:r>
      <w:r w:rsidRPr="006F22BB">
        <w:rPr>
          <w:rFonts w:eastAsiaTheme="minorHAnsi"/>
          <w:lang w:eastAsia="en-US"/>
        </w:rPr>
        <w:t xml:space="preserve">accommodating additional supplier requests during the tender process resulting in extending timescales. </w:t>
      </w:r>
    </w:p>
    <w:p w:rsidR="006F22BB" w:rsidRPr="005929A9" w:rsidRDefault="006F22BB" w:rsidP="000E2E68">
      <w:pPr>
        <w:pStyle w:val="NumbList"/>
        <w:numPr>
          <w:ilvl w:val="0"/>
          <w:numId w:val="72"/>
        </w:numPr>
        <w:ind w:left="426" w:hanging="426"/>
        <w:rPr>
          <w:rFonts w:eastAsiaTheme="minorHAnsi"/>
          <w:lang w:eastAsia="en-US"/>
        </w:rPr>
      </w:pPr>
      <w:r w:rsidRPr="006F22BB">
        <w:rPr>
          <w:rFonts w:eastAsiaTheme="minorHAnsi"/>
          <w:lang w:eastAsia="en-US"/>
        </w:rPr>
        <w:t>Fleet Associated Projects - The CCTV, vehicle security and water hose projects are being delivered on the same rollout as the pumping appliance programme and as such £290k, £1,333k and £1,014k</w:t>
      </w:r>
      <w:r w:rsidR="00432DC9" w:rsidRPr="00432DC9">
        <w:rPr>
          <w:rFonts w:eastAsiaTheme="minorHAnsi"/>
          <w:lang w:eastAsia="en-US"/>
        </w:rPr>
        <w:t xml:space="preserve"> </w:t>
      </w:r>
      <w:r w:rsidR="00432DC9" w:rsidRPr="006F22BB">
        <w:rPr>
          <w:rFonts w:eastAsiaTheme="minorHAnsi"/>
          <w:lang w:eastAsia="en-US"/>
        </w:rPr>
        <w:t>respectively</w:t>
      </w:r>
      <w:r w:rsidRPr="006F22BB">
        <w:rPr>
          <w:rFonts w:eastAsiaTheme="minorHAnsi"/>
          <w:lang w:eastAsia="en-US"/>
        </w:rPr>
        <w:t xml:space="preserve"> has been carried forward to 2018/19.</w:t>
      </w:r>
    </w:p>
    <w:p w:rsidR="006F22BB" w:rsidRPr="00582E82" w:rsidRDefault="005929A9" w:rsidP="000E2E68">
      <w:pPr>
        <w:pStyle w:val="NumbList"/>
        <w:numPr>
          <w:ilvl w:val="0"/>
          <w:numId w:val="72"/>
        </w:numPr>
        <w:ind w:left="426" w:hanging="426"/>
        <w:rPr>
          <w:rFonts w:eastAsiaTheme="minorHAnsi"/>
          <w:lang w:eastAsia="en-US"/>
        </w:rPr>
      </w:pPr>
      <w:r>
        <w:rPr>
          <w:rFonts w:eastAsiaTheme="minorHAnsi"/>
          <w:lang w:eastAsia="en-US"/>
        </w:rPr>
        <w:t xml:space="preserve">Minor works of £476k has also been </w:t>
      </w:r>
      <w:r w:rsidR="006F22BB" w:rsidRPr="006F22BB">
        <w:rPr>
          <w:rFonts w:eastAsiaTheme="minorHAnsi"/>
          <w:lang w:eastAsia="en-US"/>
        </w:rPr>
        <w:t>re</w:t>
      </w:r>
      <w:r>
        <w:rPr>
          <w:rFonts w:eastAsiaTheme="minorHAnsi"/>
          <w:lang w:eastAsia="en-US"/>
        </w:rPr>
        <w:t>-</w:t>
      </w:r>
      <w:r w:rsidR="006F22BB" w:rsidRPr="006F22BB">
        <w:rPr>
          <w:rFonts w:eastAsiaTheme="minorHAnsi"/>
          <w:lang w:eastAsia="en-US"/>
        </w:rPr>
        <w:t xml:space="preserve">phased to 2018/19 </w:t>
      </w:r>
      <w:r>
        <w:rPr>
          <w:rFonts w:eastAsiaTheme="minorHAnsi"/>
          <w:lang w:eastAsia="en-US"/>
        </w:rPr>
        <w:t xml:space="preserve">mainly due to </w:t>
      </w:r>
      <w:r w:rsidR="00432DC9">
        <w:rPr>
          <w:rFonts w:eastAsiaTheme="minorHAnsi"/>
          <w:lang w:eastAsia="en-US"/>
        </w:rPr>
        <w:t xml:space="preserve">works at Croydon and Wennington Fire Stations.  </w:t>
      </w:r>
      <w:r w:rsidR="006F22BB" w:rsidRPr="005929A9">
        <w:rPr>
          <w:rFonts w:eastAsiaTheme="minorHAnsi"/>
          <w:lang w:eastAsia="en-US"/>
        </w:rPr>
        <w:t xml:space="preserve">Croydon Fire Station -  </w:t>
      </w:r>
      <w:r>
        <w:rPr>
          <w:rFonts w:eastAsiaTheme="minorHAnsi"/>
          <w:lang w:eastAsia="en-US"/>
        </w:rPr>
        <w:t>Shower</w:t>
      </w:r>
      <w:r w:rsidR="00A22C27">
        <w:rPr>
          <w:rFonts w:eastAsiaTheme="minorHAnsi"/>
          <w:lang w:eastAsia="en-US"/>
        </w:rPr>
        <w:t>s</w:t>
      </w:r>
      <w:r>
        <w:rPr>
          <w:rFonts w:eastAsiaTheme="minorHAnsi"/>
          <w:lang w:eastAsia="en-US"/>
        </w:rPr>
        <w:t xml:space="preserve"> Refurbishment (£227k),</w:t>
      </w:r>
      <w:r w:rsidR="00432DC9">
        <w:rPr>
          <w:rFonts w:eastAsiaTheme="minorHAnsi"/>
          <w:lang w:eastAsia="en-US"/>
        </w:rPr>
        <w:t xml:space="preserve"> has been delayed</w:t>
      </w:r>
      <w:r>
        <w:rPr>
          <w:rFonts w:eastAsiaTheme="minorHAnsi"/>
          <w:lang w:eastAsia="en-US"/>
        </w:rPr>
        <w:t xml:space="preserve"> due</w:t>
      </w:r>
      <w:r w:rsidR="006F22BB" w:rsidRPr="005929A9">
        <w:rPr>
          <w:rFonts w:eastAsiaTheme="minorHAnsi"/>
          <w:lang w:eastAsia="en-US"/>
        </w:rPr>
        <w:t xml:space="preserve"> to a value engineering exercise being undertaken to bring </w:t>
      </w:r>
      <w:r w:rsidR="00432DC9">
        <w:rPr>
          <w:rFonts w:eastAsiaTheme="minorHAnsi"/>
          <w:lang w:eastAsia="en-US"/>
        </w:rPr>
        <w:t>the p</w:t>
      </w:r>
      <w:r w:rsidR="00432DC9" w:rsidRPr="005929A9">
        <w:rPr>
          <w:rFonts w:eastAsiaTheme="minorHAnsi"/>
          <w:lang w:eastAsia="en-US"/>
        </w:rPr>
        <w:t xml:space="preserve">roject </w:t>
      </w:r>
      <w:r w:rsidR="006F22BB" w:rsidRPr="005929A9">
        <w:rPr>
          <w:rFonts w:eastAsiaTheme="minorHAnsi"/>
          <w:lang w:eastAsia="en-US"/>
        </w:rPr>
        <w:t>back within budget</w:t>
      </w:r>
      <w:r w:rsidR="00B9503B">
        <w:rPr>
          <w:rFonts w:eastAsiaTheme="minorHAnsi"/>
          <w:lang w:eastAsia="en-US"/>
        </w:rPr>
        <w:t xml:space="preserve">.  </w:t>
      </w:r>
      <w:r w:rsidR="006F22BB" w:rsidRPr="005929A9">
        <w:rPr>
          <w:rFonts w:eastAsiaTheme="minorHAnsi"/>
          <w:lang w:eastAsia="en-US"/>
        </w:rPr>
        <w:t xml:space="preserve">Wennington Fire  Station - </w:t>
      </w:r>
      <w:r w:rsidR="00582E82">
        <w:rPr>
          <w:rFonts w:eastAsiaTheme="minorHAnsi"/>
          <w:lang w:eastAsia="en-US"/>
        </w:rPr>
        <w:t xml:space="preserve">Kitchen Refurbishment  (£132k) </w:t>
      </w:r>
      <w:r w:rsidR="00B9503B">
        <w:rPr>
          <w:rFonts w:eastAsiaTheme="minorHAnsi"/>
          <w:lang w:eastAsia="en-US"/>
        </w:rPr>
        <w:t xml:space="preserve">has been re-phased </w:t>
      </w:r>
      <w:r w:rsidR="00582E82">
        <w:rPr>
          <w:rFonts w:eastAsiaTheme="minorHAnsi"/>
          <w:lang w:eastAsia="en-US"/>
        </w:rPr>
        <w:t>because</w:t>
      </w:r>
      <w:r w:rsidR="006F22BB" w:rsidRPr="005929A9">
        <w:rPr>
          <w:rFonts w:eastAsiaTheme="minorHAnsi"/>
          <w:lang w:eastAsia="en-US"/>
        </w:rPr>
        <w:t xml:space="preserve"> </w:t>
      </w:r>
      <w:r w:rsidR="00B9503B">
        <w:rPr>
          <w:rFonts w:eastAsiaTheme="minorHAnsi"/>
          <w:lang w:eastAsia="en-US"/>
        </w:rPr>
        <w:t>of delays</w:t>
      </w:r>
      <w:r w:rsidR="006F22BB" w:rsidRPr="005929A9">
        <w:rPr>
          <w:rFonts w:eastAsiaTheme="minorHAnsi"/>
          <w:lang w:eastAsia="en-US"/>
        </w:rPr>
        <w:t xml:space="preserve"> at pre-start stage for a review of the kitchen ventilation design and to ensure adequate provision and siting of temporary kitchen and mess facilities.  Works </w:t>
      </w:r>
      <w:r w:rsidR="00B9503B">
        <w:rPr>
          <w:rFonts w:eastAsiaTheme="minorHAnsi"/>
          <w:lang w:eastAsia="en-US"/>
        </w:rPr>
        <w:t xml:space="preserve">at both sites </w:t>
      </w:r>
      <w:r w:rsidR="006F22BB" w:rsidRPr="005929A9">
        <w:rPr>
          <w:rFonts w:eastAsiaTheme="minorHAnsi"/>
          <w:lang w:eastAsia="en-US"/>
        </w:rPr>
        <w:t>are now scheduled to commence in 2018/19.</w:t>
      </w:r>
    </w:p>
    <w:p w:rsidR="006F22BB" w:rsidRPr="00582E82" w:rsidRDefault="006F22BB" w:rsidP="000E2E68">
      <w:pPr>
        <w:pStyle w:val="NumbList"/>
        <w:numPr>
          <w:ilvl w:val="0"/>
          <w:numId w:val="72"/>
        </w:numPr>
        <w:ind w:left="426" w:hanging="426"/>
        <w:rPr>
          <w:rFonts w:eastAsiaTheme="minorHAnsi"/>
          <w:lang w:eastAsia="en-US"/>
        </w:rPr>
      </w:pPr>
      <w:r w:rsidRPr="006F22BB">
        <w:rPr>
          <w:rFonts w:eastAsiaTheme="minorHAnsi"/>
          <w:lang w:eastAsia="en-US"/>
        </w:rPr>
        <w:t>PEG/BDC Development - The lease agreement for the new</w:t>
      </w:r>
      <w:r w:rsidR="00B9503B">
        <w:rPr>
          <w:rFonts w:eastAsiaTheme="minorHAnsi"/>
          <w:lang w:eastAsia="en-US"/>
        </w:rPr>
        <w:t>,</w:t>
      </w:r>
      <w:r w:rsidRPr="006F22BB">
        <w:rPr>
          <w:rFonts w:eastAsiaTheme="minorHAnsi"/>
          <w:lang w:eastAsia="en-US"/>
        </w:rPr>
        <w:t xml:space="preserve"> and combined</w:t>
      </w:r>
      <w:r w:rsidR="00B9503B">
        <w:rPr>
          <w:rFonts w:eastAsiaTheme="minorHAnsi"/>
          <w:lang w:eastAsia="en-US"/>
        </w:rPr>
        <w:t>,</w:t>
      </w:r>
      <w:r w:rsidRPr="006F22BB">
        <w:rPr>
          <w:rFonts w:eastAsiaTheme="minorHAnsi"/>
          <w:lang w:eastAsia="en-US"/>
        </w:rPr>
        <w:t xml:space="preserve"> PEG / BDC facility (Integrated Equipment </w:t>
      </w:r>
      <w:r w:rsidR="00037DF7">
        <w:rPr>
          <w:rFonts w:eastAsiaTheme="minorHAnsi"/>
          <w:lang w:eastAsia="en-US"/>
        </w:rPr>
        <w:t xml:space="preserve">and </w:t>
      </w:r>
      <w:r w:rsidRPr="006F22BB">
        <w:rPr>
          <w:rFonts w:eastAsiaTheme="minorHAnsi"/>
          <w:lang w:eastAsia="en-US"/>
        </w:rPr>
        <w:t>Logistics Project</w:t>
      </w:r>
      <w:r w:rsidR="00582E82">
        <w:rPr>
          <w:rFonts w:eastAsiaTheme="minorHAnsi"/>
          <w:lang w:eastAsia="en-US"/>
        </w:rPr>
        <w:t xml:space="preserve"> - IELP) was finally signed at </w:t>
      </w:r>
      <w:r w:rsidRPr="006F22BB">
        <w:rPr>
          <w:rFonts w:eastAsiaTheme="minorHAnsi"/>
          <w:lang w:eastAsia="en-US"/>
        </w:rPr>
        <w:t>the end of February 2018. This resulted in delays in obtaining the landlord’s licence for the fit-out/adaptation works and comp</w:t>
      </w:r>
      <w:r w:rsidR="00582E82">
        <w:rPr>
          <w:rFonts w:eastAsiaTheme="minorHAnsi"/>
          <w:lang w:eastAsia="en-US"/>
        </w:rPr>
        <w:t xml:space="preserve">letion of the tender package. </w:t>
      </w:r>
      <w:r w:rsidRPr="006F22BB">
        <w:rPr>
          <w:rFonts w:eastAsiaTheme="minorHAnsi"/>
          <w:lang w:eastAsia="en-US"/>
        </w:rPr>
        <w:t>£123k has been carried forward to 2018/19.</w:t>
      </w:r>
    </w:p>
    <w:p w:rsidR="00226713" w:rsidRDefault="006F22BB" w:rsidP="000E2E68">
      <w:pPr>
        <w:pStyle w:val="NumbList"/>
        <w:numPr>
          <w:ilvl w:val="0"/>
          <w:numId w:val="72"/>
        </w:numPr>
        <w:ind w:left="426" w:hanging="426"/>
        <w:rPr>
          <w:rFonts w:eastAsiaTheme="minorHAnsi"/>
          <w:lang w:eastAsia="en-US"/>
        </w:rPr>
      </w:pPr>
      <w:r w:rsidRPr="006F22BB">
        <w:rPr>
          <w:rFonts w:eastAsiaTheme="minorHAnsi"/>
          <w:lang w:eastAsia="en-US"/>
        </w:rPr>
        <w:t xml:space="preserve">Merton Control Centre - Data transfer (transformation grant) - The project is being developed by Capita and other partner agencies who are developing their own control systems with a target date for a working solution </w:t>
      </w:r>
      <w:r w:rsidR="00B9503B">
        <w:rPr>
          <w:rFonts w:eastAsiaTheme="minorHAnsi"/>
          <w:lang w:eastAsia="en-US"/>
        </w:rPr>
        <w:t xml:space="preserve">of </w:t>
      </w:r>
      <w:r w:rsidRPr="006F22BB">
        <w:rPr>
          <w:rFonts w:eastAsiaTheme="minorHAnsi"/>
          <w:lang w:eastAsia="en-US"/>
        </w:rPr>
        <w:t>late summer. The project will be completed in the next financial year and £195k has been carried forward to 2018/19 to fund the remaining works.</w:t>
      </w:r>
    </w:p>
    <w:p w:rsidR="006F22BB" w:rsidRPr="008F23B8" w:rsidRDefault="006F22BB" w:rsidP="008F23B8">
      <w:pPr>
        <w:pStyle w:val="NumbList"/>
        <w:spacing w:after="0" w:line="0" w:lineRule="atLeast"/>
        <w:contextualSpacing/>
        <w:rPr>
          <w:rFonts w:ascii="FoundrySansDemi" w:hAnsi="FoundrySansDemi"/>
        </w:rPr>
      </w:pPr>
      <w:r w:rsidRPr="008F23B8">
        <w:rPr>
          <w:rFonts w:ascii="FoundrySansDemi" w:hAnsi="FoundrySansDemi"/>
        </w:rPr>
        <w:t xml:space="preserve">Future Years                                                                                                                                                                                               </w:t>
      </w:r>
    </w:p>
    <w:p w:rsidR="006F22BB" w:rsidRPr="006F22BB" w:rsidRDefault="006F22BB" w:rsidP="000E2E68">
      <w:pPr>
        <w:pStyle w:val="NumbList"/>
        <w:numPr>
          <w:ilvl w:val="0"/>
          <w:numId w:val="72"/>
        </w:numPr>
        <w:ind w:left="426" w:hanging="426"/>
        <w:rPr>
          <w:rFonts w:eastAsiaTheme="minorHAnsi"/>
          <w:lang w:eastAsia="en-US"/>
        </w:rPr>
      </w:pPr>
      <w:r w:rsidRPr="006F22BB">
        <w:rPr>
          <w:rFonts w:eastAsiaTheme="minorHAnsi"/>
          <w:lang w:eastAsia="en-US"/>
        </w:rPr>
        <w:t xml:space="preserve">A review is being undertaken regarding the options to replace the Respiratory Protection Equipment. It is envisaged that the procurement will commence during 2018 and it is estimated </w:t>
      </w:r>
      <w:r w:rsidR="00645166">
        <w:rPr>
          <w:rFonts w:eastAsiaTheme="minorHAnsi"/>
          <w:lang w:eastAsia="en-US"/>
        </w:rPr>
        <w:t xml:space="preserve">that the cost is circa £2.3m. </w:t>
      </w:r>
      <w:r w:rsidRPr="006F22BB">
        <w:rPr>
          <w:rFonts w:eastAsiaTheme="minorHAnsi"/>
          <w:lang w:eastAsia="en-US"/>
        </w:rPr>
        <w:t>Accordingly</w:t>
      </w:r>
      <w:r w:rsidR="00060CFB">
        <w:rPr>
          <w:rFonts w:eastAsiaTheme="minorHAnsi"/>
          <w:lang w:eastAsia="en-US"/>
        </w:rPr>
        <w:t xml:space="preserve">, </w:t>
      </w:r>
      <w:r w:rsidRPr="006F22BB">
        <w:rPr>
          <w:rFonts w:eastAsiaTheme="minorHAnsi"/>
          <w:lang w:eastAsia="en-US"/>
        </w:rPr>
        <w:t>£2.3m has been added to the capital budget in 2018/19</w:t>
      </w:r>
      <w:r w:rsidR="00060CFB">
        <w:rPr>
          <w:rFonts w:eastAsiaTheme="minorHAnsi"/>
          <w:lang w:eastAsia="en-US"/>
        </w:rPr>
        <w:t xml:space="preserve">. </w:t>
      </w:r>
      <w:r w:rsidRPr="006F22BB">
        <w:rPr>
          <w:rFonts w:eastAsiaTheme="minorHAnsi"/>
          <w:lang w:eastAsia="en-US"/>
        </w:rPr>
        <w:t>The budget will be updated once the outcome of the review is known.</w:t>
      </w:r>
    </w:p>
    <w:p w:rsidR="00E75ADE" w:rsidRPr="00645166" w:rsidRDefault="006F22BB" w:rsidP="000E2E68">
      <w:pPr>
        <w:pStyle w:val="NumbList"/>
        <w:numPr>
          <w:ilvl w:val="0"/>
          <w:numId w:val="72"/>
        </w:numPr>
        <w:ind w:left="426" w:hanging="426"/>
        <w:rPr>
          <w:rFonts w:eastAsiaTheme="minorHAnsi"/>
          <w:lang w:eastAsia="en-US"/>
        </w:rPr>
      </w:pPr>
      <w:r w:rsidRPr="006F22BB">
        <w:rPr>
          <w:rFonts w:eastAsiaTheme="minorHAnsi"/>
          <w:lang w:eastAsia="en-US"/>
        </w:rPr>
        <w:t>The specification for the replacement of the incident grounds communications is currently being worked up. The budget has been reviewed and it is now expected that the cost of the scheme will be circa £1.8m compared to the</w:t>
      </w:r>
      <w:r w:rsidR="00645166">
        <w:rPr>
          <w:rFonts w:eastAsiaTheme="minorHAnsi"/>
          <w:lang w:eastAsia="en-US"/>
        </w:rPr>
        <w:t xml:space="preserve"> original projection of £1.3m. </w:t>
      </w:r>
      <w:r w:rsidRPr="006F22BB">
        <w:rPr>
          <w:rFonts w:eastAsiaTheme="minorHAnsi"/>
          <w:lang w:eastAsia="en-US"/>
        </w:rPr>
        <w:t>The final budget will be updated once the procurement has been undertaken and the actual price determined.</w:t>
      </w:r>
    </w:p>
    <w:p w:rsidR="006F22BB" w:rsidRPr="008F23B8" w:rsidRDefault="006F22BB" w:rsidP="008F23B8">
      <w:pPr>
        <w:pStyle w:val="NumbList"/>
        <w:spacing w:after="0" w:line="0" w:lineRule="atLeast"/>
        <w:contextualSpacing/>
        <w:rPr>
          <w:rFonts w:ascii="FoundrySansDemi" w:hAnsi="FoundrySansDemi"/>
        </w:rPr>
      </w:pPr>
      <w:r w:rsidRPr="008F23B8">
        <w:rPr>
          <w:rFonts w:ascii="FoundrySansDemi" w:hAnsi="FoundrySansDemi"/>
        </w:rPr>
        <w:t xml:space="preserve">Capital Receipts   </w:t>
      </w:r>
    </w:p>
    <w:p w:rsidR="006F22BB" w:rsidRPr="00950F64" w:rsidRDefault="006F22BB" w:rsidP="000E2E68">
      <w:pPr>
        <w:pStyle w:val="NumbList"/>
        <w:numPr>
          <w:ilvl w:val="0"/>
          <w:numId w:val="72"/>
        </w:numPr>
        <w:ind w:left="426" w:hanging="426"/>
        <w:rPr>
          <w:rFonts w:eastAsiaTheme="minorHAnsi"/>
          <w:lang w:eastAsia="en-US"/>
        </w:rPr>
      </w:pPr>
      <w:r w:rsidRPr="00950F64">
        <w:rPr>
          <w:rFonts w:eastAsiaTheme="minorHAnsi"/>
          <w:lang w:eastAsia="en-US"/>
        </w:rPr>
        <w:t>The projected capital receipt for the former Southwark fire station has been reduced to £42.2m as detailed in report FEP2832, with £21.1m being forecast to be received during 2018/19 and the remaining 50% during 2019/20 financial year.</w:t>
      </w:r>
      <w:r w:rsidR="007C3A56">
        <w:rPr>
          <w:rFonts w:eastAsiaTheme="minorHAnsi"/>
          <w:lang w:eastAsia="en-US"/>
        </w:rPr>
        <w:t xml:space="preserve"> </w:t>
      </w:r>
      <w:r w:rsidR="006A74DE">
        <w:rPr>
          <w:rFonts w:eastAsiaTheme="minorHAnsi"/>
          <w:lang w:eastAsia="en-US"/>
        </w:rPr>
        <w:t xml:space="preserve">The </w:t>
      </w:r>
      <w:r w:rsidR="007C3A56">
        <w:rPr>
          <w:rFonts w:eastAsiaTheme="minorHAnsi"/>
          <w:lang w:eastAsia="en-US"/>
        </w:rPr>
        <w:t xml:space="preserve">GLA will be providing £11.8m in 2018/19 to cover the reduction in the receipt for Southwark. </w:t>
      </w:r>
      <w:r w:rsidRPr="00950F64">
        <w:rPr>
          <w:rFonts w:eastAsiaTheme="minorHAnsi"/>
          <w:lang w:eastAsia="en-US"/>
        </w:rPr>
        <w:t xml:space="preserve"> In addition, the level of the projected sale receipt for the former Clerkenwell fire station has also been reviewed in light of current market conditions and the reduced value is now £7.5m, compared to the original forecast of £10m</w:t>
      </w:r>
      <w:r w:rsidR="00BB5FA9" w:rsidRPr="00950F64">
        <w:rPr>
          <w:rFonts w:eastAsiaTheme="minorHAnsi"/>
          <w:lang w:eastAsia="en-US"/>
        </w:rPr>
        <w:t xml:space="preserve">. </w:t>
      </w:r>
      <w:r w:rsidRPr="00950F64">
        <w:rPr>
          <w:rFonts w:eastAsiaTheme="minorHAnsi"/>
          <w:lang w:eastAsia="en-US"/>
        </w:rPr>
        <w:t>It is also forecast that this receipt will be received during 2018/19.</w:t>
      </w:r>
    </w:p>
    <w:p w:rsidR="006F22BB" w:rsidRPr="006F22BB" w:rsidRDefault="006F22BB" w:rsidP="000E2E68">
      <w:pPr>
        <w:pStyle w:val="NumbList"/>
        <w:numPr>
          <w:ilvl w:val="0"/>
          <w:numId w:val="72"/>
        </w:numPr>
        <w:ind w:left="426" w:hanging="426"/>
        <w:rPr>
          <w:rFonts w:eastAsiaTheme="minorHAnsi"/>
          <w:lang w:eastAsia="en-US"/>
        </w:rPr>
      </w:pPr>
      <w:r w:rsidRPr="006F22BB">
        <w:rPr>
          <w:rFonts w:eastAsiaTheme="minorHAnsi"/>
          <w:lang w:eastAsia="en-US"/>
        </w:rPr>
        <w:t>T</w:t>
      </w:r>
      <w:r w:rsidR="003A5604">
        <w:rPr>
          <w:rFonts w:eastAsiaTheme="minorHAnsi"/>
          <w:lang w:eastAsia="en-US"/>
        </w:rPr>
        <w:t xml:space="preserve">able 4 </w:t>
      </w:r>
      <w:r w:rsidRPr="006F22BB">
        <w:rPr>
          <w:rFonts w:eastAsiaTheme="minorHAnsi"/>
          <w:lang w:eastAsia="en-US"/>
        </w:rPr>
        <w:t>below shows a</w:t>
      </w:r>
      <w:r w:rsidR="00E75ADE">
        <w:rPr>
          <w:rFonts w:eastAsiaTheme="minorHAnsi"/>
          <w:lang w:eastAsia="en-US"/>
        </w:rPr>
        <w:t xml:space="preserve"> summary of the movements from the </w:t>
      </w:r>
      <w:r w:rsidR="00E75ADE" w:rsidRPr="00E75ADE">
        <w:rPr>
          <w:rFonts w:eastAsiaTheme="minorHAnsi"/>
          <w:lang w:eastAsia="en-US"/>
        </w:rPr>
        <w:t xml:space="preserve">financial position as the end of </w:t>
      </w:r>
      <w:r w:rsidR="00BB5FA9">
        <w:rPr>
          <w:rFonts w:eastAsiaTheme="minorHAnsi"/>
          <w:lang w:eastAsia="en-US"/>
        </w:rPr>
        <w:t xml:space="preserve">December </w:t>
      </w:r>
      <w:r w:rsidR="00E75ADE" w:rsidRPr="00E75ADE">
        <w:rPr>
          <w:rFonts w:eastAsiaTheme="minorHAnsi"/>
          <w:lang w:eastAsia="en-US"/>
        </w:rPr>
        <w:t>(Quarter 3)</w:t>
      </w:r>
      <w:r w:rsidRPr="006F22BB">
        <w:rPr>
          <w:rFonts w:eastAsiaTheme="minorHAnsi"/>
          <w:lang w:eastAsia="en-US"/>
        </w:rPr>
        <w:t xml:space="preserve"> and the impact on the capital budget in future years.</w:t>
      </w:r>
    </w:p>
    <w:p w:rsidR="00ED7DC6" w:rsidRPr="003A5604" w:rsidRDefault="003A5604" w:rsidP="003A5604">
      <w:pPr>
        <w:pStyle w:val="ListParagraph"/>
        <w:spacing w:after="0"/>
        <w:rPr>
          <w:b/>
        </w:rPr>
      </w:pPr>
      <w:r w:rsidRPr="003A5604">
        <w:rPr>
          <w:b/>
        </w:rPr>
        <w:t>Table 4</w:t>
      </w:r>
      <w:r>
        <w:rPr>
          <w:b/>
        </w:rPr>
        <w:t xml:space="preserve"> – Summary of Movements from Quarter 3</w:t>
      </w:r>
    </w:p>
    <w:tbl>
      <w:tblPr>
        <w:tblStyle w:val="TableGrid"/>
        <w:tblW w:w="5000" w:type="pct"/>
        <w:tblLook w:val="04A0" w:firstRow="1" w:lastRow="0" w:firstColumn="1" w:lastColumn="0" w:noHBand="0" w:noVBand="1"/>
      </w:tblPr>
      <w:tblGrid>
        <w:gridCol w:w="2792"/>
        <w:gridCol w:w="957"/>
        <w:gridCol w:w="958"/>
        <w:gridCol w:w="958"/>
        <w:gridCol w:w="958"/>
        <w:gridCol w:w="954"/>
        <w:gridCol w:w="2278"/>
      </w:tblGrid>
      <w:tr w:rsidR="00703CEA" w:rsidTr="003A5604">
        <w:trPr>
          <w:tblHeader/>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b/>
                <w:sz w:val="20"/>
                <w:szCs w:val="20"/>
              </w:rPr>
            </w:pPr>
            <w:r>
              <w:rPr>
                <w:b/>
                <w:sz w:val="20"/>
                <w:szCs w:val="20"/>
              </w:rPr>
              <w:t>Budget Year</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b/>
                <w:sz w:val="20"/>
                <w:szCs w:val="20"/>
              </w:rPr>
            </w:pPr>
            <w:r>
              <w:rPr>
                <w:b/>
                <w:sz w:val="20"/>
                <w:szCs w:val="20"/>
              </w:rPr>
              <w:t>2017-18</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b/>
                <w:sz w:val="20"/>
                <w:szCs w:val="20"/>
              </w:rPr>
            </w:pPr>
            <w:r>
              <w:rPr>
                <w:b/>
                <w:sz w:val="20"/>
                <w:szCs w:val="20"/>
              </w:rPr>
              <w:t>2018-19</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b/>
                <w:sz w:val="20"/>
                <w:szCs w:val="20"/>
              </w:rPr>
            </w:pPr>
            <w:r>
              <w:rPr>
                <w:b/>
                <w:sz w:val="20"/>
                <w:szCs w:val="20"/>
              </w:rPr>
              <w:t>2019-20</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b/>
                <w:sz w:val="20"/>
                <w:szCs w:val="20"/>
              </w:rPr>
            </w:pPr>
            <w:r>
              <w:rPr>
                <w:b/>
                <w:sz w:val="20"/>
                <w:szCs w:val="20"/>
              </w:rPr>
              <w:t>2020-21</w:t>
            </w:r>
          </w:p>
        </w:tc>
        <w:tc>
          <w:tcPr>
            <w:tcW w:w="484"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b/>
                <w:sz w:val="20"/>
                <w:szCs w:val="20"/>
              </w:rPr>
            </w:pPr>
            <w:r>
              <w:rPr>
                <w:b/>
                <w:sz w:val="20"/>
                <w:szCs w:val="20"/>
              </w:rPr>
              <w:t>2021-22</w:t>
            </w: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b/>
                <w:sz w:val="20"/>
                <w:szCs w:val="20"/>
              </w:rPr>
            </w:pPr>
            <w:r>
              <w:rPr>
                <w:b/>
                <w:sz w:val="20"/>
                <w:szCs w:val="20"/>
              </w:rPr>
              <w:t>Notes</w:t>
            </w:r>
          </w:p>
        </w:tc>
      </w:tr>
      <w:tr w:rsidR="00703CEA" w:rsidTr="003A5604">
        <w:trPr>
          <w:trHeight w:val="139"/>
          <w:tblHeader/>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rsidP="00E46FBF">
            <w:pPr>
              <w:spacing w:after="0" w:line="240" w:lineRule="auto"/>
              <w:rPr>
                <w:b/>
                <w:sz w:val="20"/>
                <w:szCs w:val="20"/>
              </w:rPr>
            </w:pPr>
            <w:r>
              <w:rPr>
                <w:b/>
                <w:sz w:val="20"/>
                <w:szCs w:val="20"/>
              </w:rPr>
              <w:t>Q</w:t>
            </w:r>
            <w:r w:rsidR="00BB5FA9">
              <w:rPr>
                <w:b/>
                <w:sz w:val="20"/>
                <w:szCs w:val="20"/>
              </w:rPr>
              <w:t>uarter</w:t>
            </w:r>
            <w:r>
              <w:rPr>
                <w:b/>
                <w:sz w:val="20"/>
                <w:szCs w:val="20"/>
              </w:rPr>
              <w:t xml:space="preserve"> 3 FEP</w:t>
            </w:r>
            <w:r w:rsidR="00BB5FA9">
              <w:rPr>
                <w:b/>
                <w:sz w:val="20"/>
                <w:szCs w:val="20"/>
              </w:rPr>
              <w:t xml:space="preserve"> 2709 - </w:t>
            </w:r>
            <w:r>
              <w:rPr>
                <w:b/>
                <w:sz w:val="20"/>
                <w:szCs w:val="20"/>
              </w:rPr>
              <w:t xml:space="preserve"> Resources Com</w:t>
            </w:r>
            <w:r w:rsidR="00BB5FA9">
              <w:rPr>
                <w:b/>
                <w:sz w:val="20"/>
                <w:szCs w:val="20"/>
              </w:rPr>
              <w:t>mittee</w:t>
            </w:r>
            <w:r>
              <w:rPr>
                <w:b/>
                <w:sz w:val="20"/>
                <w:szCs w:val="20"/>
              </w:rPr>
              <w:t xml:space="preserve"> </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b/>
                <w:sz w:val="20"/>
                <w:szCs w:val="20"/>
              </w:rPr>
            </w:pPr>
            <w:r>
              <w:rPr>
                <w:b/>
                <w:sz w:val="20"/>
                <w:szCs w:val="20"/>
              </w:rPr>
              <w:t>20,344</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b/>
                <w:sz w:val="20"/>
                <w:szCs w:val="20"/>
              </w:rPr>
            </w:pPr>
            <w:r>
              <w:rPr>
                <w:b/>
                <w:sz w:val="20"/>
                <w:szCs w:val="20"/>
              </w:rPr>
              <w:t>39,098</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b/>
                <w:sz w:val="20"/>
                <w:szCs w:val="20"/>
              </w:rPr>
            </w:pPr>
            <w:r>
              <w:rPr>
                <w:b/>
                <w:sz w:val="20"/>
                <w:szCs w:val="20"/>
              </w:rPr>
              <w:t>47,006</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b/>
                <w:sz w:val="20"/>
                <w:szCs w:val="20"/>
              </w:rPr>
            </w:pPr>
            <w:r>
              <w:rPr>
                <w:b/>
                <w:sz w:val="20"/>
                <w:szCs w:val="20"/>
              </w:rPr>
              <w:t>21,382</w:t>
            </w:r>
          </w:p>
        </w:tc>
        <w:tc>
          <w:tcPr>
            <w:tcW w:w="484"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b/>
                <w:sz w:val="20"/>
                <w:szCs w:val="20"/>
              </w:rPr>
            </w:pPr>
            <w:r>
              <w:rPr>
                <w:b/>
                <w:sz w:val="20"/>
                <w:szCs w:val="20"/>
              </w:rPr>
              <w:t>23,090</w:t>
            </w:r>
          </w:p>
        </w:tc>
        <w:tc>
          <w:tcPr>
            <w:tcW w:w="115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rPr>
                <w:sz w:val="20"/>
                <w:szCs w:val="20"/>
              </w:rPr>
            </w:pP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ICT – Business Intelligence Solution</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(54)</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54</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ICT Replacement of Laptops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(45)</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45</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ICT – Accident Reporting Solution</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(62)</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62</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ICT – New Telephone Equipment</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(42)</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42</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ICT – New Legacy PC’s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(41)</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41</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ICT – Farynor Project</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(50)</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50</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ICT – Removal of over programming</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420</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Removal of ICT budget over programming</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ICT Wireless LAN Controllers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(19)</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saving</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bCs/>
                <w:sz w:val="20"/>
                <w:szCs w:val="20"/>
              </w:rPr>
              <w:t>Merton Control Centre - Data transfer</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(195)</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195</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b/>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Minor Works – Battersea FS – Gates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(74)</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74</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Minor Works -  Croydon FS – Showers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(227)</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227</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Minor Works -  Wennington – Kitchen</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(132)</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132</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Minor Works – Eltham Hill FS - Showers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(43)</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43</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Minor Works – Heston FS – Line Training Facilities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41</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center"/>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New approved projects</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Minor Works – Paddington FS- Fitness Facilities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80</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New approved projects</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Window Replacements – Chiswick FS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(110)</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110</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Appliance Bay Doors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(188)</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188</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 xml:space="preserve">New Cross FS – Yard Works </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(149)</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51</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Workplace Plan Improvements Union St</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(133)</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60</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Heating at various fire stations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(104)</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61</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West Hampstead Cottages Refurb</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(16)</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16</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New Training Centre</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(71)</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71</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PEG/BDC Development</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(123)</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123</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West Norwood New Fire Station</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(45)</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Refund of project costs</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Rewiring at various fire stations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(24)</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Project savings</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Alterations to Union Street (HQ)</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(27)</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Project savings</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 xml:space="preserve">Development costs </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(163)</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Project savings</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bCs/>
                <w:sz w:val="20"/>
                <w:szCs w:val="20"/>
              </w:rPr>
              <w:t>Pumping Appliances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(480)</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480</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CCTV on Pumping Appliances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(290)</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290</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bCs/>
                <w:sz w:val="20"/>
                <w:szCs w:val="20"/>
              </w:rPr>
            </w:pPr>
            <w:r>
              <w:rPr>
                <w:bCs/>
                <w:sz w:val="20"/>
                <w:szCs w:val="20"/>
              </w:rPr>
              <w:t>22mm Water Hose and Reels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(1,014)</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1,014</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bCs/>
                <w:sz w:val="20"/>
                <w:szCs w:val="20"/>
              </w:rPr>
            </w:pPr>
            <w:r>
              <w:rPr>
                <w:bCs/>
                <w:sz w:val="20"/>
                <w:szCs w:val="20"/>
              </w:rPr>
              <w:t>Security on Pumping Appliances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(1,333)</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1,333</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bCs/>
                <w:sz w:val="20"/>
                <w:szCs w:val="20"/>
              </w:rPr>
            </w:pPr>
            <w:r>
              <w:rPr>
                <w:bCs/>
                <w:sz w:val="20"/>
                <w:szCs w:val="20"/>
              </w:rPr>
              <w:t>Other vehicle &amp; equip replacements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(1,506)</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1,506</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bCs/>
                <w:sz w:val="20"/>
                <w:szCs w:val="20"/>
              </w:rPr>
            </w:pPr>
            <w:r>
              <w:rPr>
                <w:bCs/>
                <w:sz w:val="20"/>
                <w:szCs w:val="20"/>
              </w:rPr>
              <w:t>Other savings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2</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Project costs</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bCs/>
                <w:sz w:val="20"/>
                <w:szCs w:val="20"/>
              </w:rPr>
            </w:pPr>
            <w:r>
              <w:rPr>
                <w:sz w:val="20"/>
                <w:szCs w:val="20"/>
              </w:rPr>
              <w:t>Replacement of the incident grounds communications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0</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500</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Additional budget requirement</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vAlign w:val="center"/>
            <w:hideMark/>
          </w:tcPr>
          <w:p w:rsidR="00703CEA" w:rsidRDefault="00703CEA">
            <w:pPr>
              <w:spacing w:after="0" w:line="240" w:lineRule="auto"/>
              <w:rPr>
                <w:sz w:val="20"/>
                <w:szCs w:val="20"/>
              </w:rPr>
            </w:pPr>
            <w:r>
              <w:rPr>
                <w:bCs/>
                <w:sz w:val="20"/>
                <w:szCs w:val="20"/>
              </w:rPr>
              <w:t>Business Management System (PMF)</w:t>
            </w:r>
          </w:p>
        </w:tc>
        <w:tc>
          <w:tcPr>
            <w:tcW w:w="485"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(215)</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215</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rPr>
                <w:sz w:val="20"/>
                <w:szCs w:val="20"/>
              </w:rPr>
            </w:pP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Respiratory Protective Equipment</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0</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2,300</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New budget requirement</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Removal of over programming</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6,686</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(6,686)</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Budget slippage to 2018/19</w:t>
            </w: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Disposal fees for surplus assets</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204</w:t>
            </w: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484"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jc w:val="right"/>
              <w:rPr>
                <w:sz w:val="20"/>
                <w:szCs w:val="20"/>
              </w:rPr>
            </w:pPr>
          </w:p>
        </w:tc>
        <w:tc>
          <w:tcPr>
            <w:tcW w:w="115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rPr>
                <w:sz w:val="20"/>
                <w:szCs w:val="20"/>
              </w:rPr>
            </w:pPr>
          </w:p>
        </w:tc>
      </w:tr>
      <w:tr w:rsidR="00703CEA" w:rsidTr="003A5604">
        <w:trPr>
          <w:trHeight w:val="70"/>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b/>
                <w:sz w:val="20"/>
                <w:szCs w:val="20"/>
              </w:rPr>
            </w:pPr>
            <w:r>
              <w:rPr>
                <w:b/>
                <w:sz w:val="20"/>
                <w:szCs w:val="20"/>
              </w:rPr>
              <w:t>Capital Programme Outturn Report</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b/>
                <w:sz w:val="20"/>
                <w:szCs w:val="20"/>
              </w:rPr>
            </w:pPr>
            <w:r>
              <w:rPr>
                <w:b/>
                <w:sz w:val="20"/>
                <w:szCs w:val="20"/>
              </w:rPr>
              <w:t>21,017</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b/>
                <w:sz w:val="20"/>
                <w:szCs w:val="20"/>
              </w:rPr>
            </w:pPr>
            <w:r>
              <w:rPr>
                <w:b/>
                <w:sz w:val="20"/>
                <w:szCs w:val="20"/>
              </w:rPr>
              <w:t>41,265</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b/>
                <w:sz w:val="20"/>
                <w:szCs w:val="20"/>
              </w:rPr>
            </w:pPr>
            <w:r>
              <w:rPr>
                <w:b/>
                <w:sz w:val="20"/>
                <w:szCs w:val="20"/>
              </w:rPr>
              <w:t>47,221</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b/>
                <w:sz w:val="20"/>
                <w:szCs w:val="20"/>
              </w:rPr>
            </w:pPr>
            <w:r>
              <w:rPr>
                <w:b/>
                <w:sz w:val="20"/>
                <w:szCs w:val="20"/>
              </w:rPr>
              <w:t>21,382</w:t>
            </w:r>
          </w:p>
        </w:tc>
        <w:tc>
          <w:tcPr>
            <w:tcW w:w="484"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b/>
                <w:sz w:val="20"/>
                <w:szCs w:val="20"/>
              </w:rPr>
            </w:pPr>
            <w:r>
              <w:rPr>
                <w:b/>
                <w:sz w:val="20"/>
                <w:szCs w:val="20"/>
              </w:rPr>
              <w:t>23,090</w:t>
            </w:r>
          </w:p>
        </w:tc>
        <w:tc>
          <w:tcPr>
            <w:tcW w:w="115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rPr>
                <w:sz w:val="20"/>
                <w:szCs w:val="20"/>
              </w:rPr>
            </w:pPr>
          </w:p>
        </w:tc>
      </w:tr>
      <w:tr w:rsidR="00703CEA" w:rsidTr="003A5604">
        <w:trPr>
          <w:trHeight w:val="139"/>
        </w:trPr>
        <w:tc>
          <w:tcPr>
            <w:tcW w:w="141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rPr>
                <w:sz w:val="20"/>
                <w:szCs w:val="20"/>
              </w:rPr>
            </w:pPr>
            <w:r>
              <w:rPr>
                <w:sz w:val="20"/>
                <w:szCs w:val="20"/>
              </w:rPr>
              <w:t>Change</w:t>
            </w:r>
          </w:p>
        </w:tc>
        <w:tc>
          <w:tcPr>
            <w:tcW w:w="485"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673</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2,167</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0</w:t>
            </w:r>
          </w:p>
        </w:tc>
        <w:tc>
          <w:tcPr>
            <w:tcW w:w="486"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0</w:t>
            </w:r>
          </w:p>
        </w:tc>
        <w:tc>
          <w:tcPr>
            <w:tcW w:w="484" w:type="pct"/>
            <w:tcBorders>
              <w:top w:val="single" w:sz="4" w:space="0" w:color="auto"/>
              <w:left w:val="single" w:sz="4" w:space="0" w:color="auto"/>
              <w:bottom w:val="single" w:sz="4" w:space="0" w:color="auto"/>
              <w:right w:val="single" w:sz="4" w:space="0" w:color="auto"/>
            </w:tcBorders>
            <w:hideMark/>
          </w:tcPr>
          <w:p w:rsidR="00703CEA" w:rsidRDefault="00703CEA">
            <w:pPr>
              <w:spacing w:after="0" w:line="240" w:lineRule="auto"/>
              <w:jc w:val="right"/>
              <w:rPr>
                <w:sz w:val="20"/>
                <w:szCs w:val="20"/>
              </w:rPr>
            </w:pPr>
            <w:r>
              <w:rPr>
                <w:sz w:val="20"/>
                <w:szCs w:val="20"/>
              </w:rPr>
              <w:t>0</w:t>
            </w:r>
          </w:p>
        </w:tc>
        <w:tc>
          <w:tcPr>
            <w:tcW w:w="1156" w:type="pct"/>
            <w:tcBorders>
              <w:top w:val="single" w:sz="4" w:space="0" w:color="auto"/>
              <w:left w:val="single" w:sz="4" w:space="0" w:color="auto"/>
              <w:bottom w:val="single" w:sz="4" w:space="0" w:color="auto"/>
              <w:right w:val="single" w:sz="4" w:space="0" w:color="auto"/>
            </w:tcBorders>
          </w:tcPr>
          <w:p w:rsidR="00703CEA" w:rsidRDefault="00703CEA">
            <w:pPr>
              <w:spacing w:after="0" w:line="240" w:lineRule="auto"/>
              <w:rPr>
                <w:sz w:val="20"/>
                <w:szCs w:val="20"/>
              </w:rPr>
            </w:pPr>
          </w:p>
        </w:tc>
      </w:tr>
    </w:tbl>
    <w:p w:rsidR="002536D5" w:rsidRDefault="002536D5" w:rsidP="000E2E68">
      <w:pPr>
        <w:contextualSpacing/>
        <w:rPr>
          <w:b/>
          <w:u w:val="single"/>
        </w:rPr>
      </w:pPr>
    </w:p>
    <w:p w:rsidR="0010714C" w:rsidRDefault="0010714C" w:rsidP="000E2E68">
      <w:pPr>
        <w:contextualSpacing/>
        <w:rPr>
          <w:b/>
          <w:u w:val="single"/>
        </w:rPr>
      </w:pPr>
    </w:p>
    <w:p w:rsidR="000A341E" w:rsidRDefault="00807719" w:rsidP="000E2E68">
      <w:pPr>
        <w:contextualSpacing/>
        <w:rPr>
          <w:b/>
          <w:u w:val="single"/>
        </w:rPr>
      </w:pPr>
      <w:r>
        <w:rPr>
          <w:b/>
          <w:u w:val="single"/>
        </w:rPr>
        <w:t>Future Capital Budget</w:t>
      </w:r>
    </w:p>
    <w:p w:rsidR="000A341E" w:rsidRDefault="000A341E" w:rsidP="000E2E68">
      <w:pPr>
        <w:pStyle w:val="NumbList"/>
        <w:numPr>
          <w:ilvl w:val="0"/>
          <w:numId w:val="72"/>
        </w:numPr>
        <w:ind w:left="426" w:hanging="426"/>
        <w:rPr>
          <w:rFonts w:eastAsiaTheme="minorHAnsi"/>
          <w:lang w:eastAsia="en-US"/>
        </w:rPr>
      </w:pPr>
      <w:r w:rsidRPr="000E2E68">
        <w:rPr>
          <w:rFonts w:eastAsiaTheme="minorHAnsi"/>
          <w:lang w:eastAsia="en-US"/>
        </w:rPr>
        <w:t>T</w:t>
      </w:r>
      <w:r w:rsidR="002473E0">
        <w:rPr>
          <w:rFonts w:eastAsiaTheme="minorHAnsi"/>
          <w:lang w:eastAsia="en-US"/>
        </w:rPr>
        <w:t>able 5 below s</w:t>
      </w:r>
      <w:r w:rsidRPr="000E2E68">
        <w:rPr>
          <w:rFonts w:eastAsiaTheme="minorHAnsi"/>
          <w:lang w:eastAsia="en-US"/>
        </w:rPr>
        <w:t>et</w:t>
      </w:r>
      <w:r w:rsidR="00B36B19">
        <w:rPr>
          <w:rFonts w:eastAsiaTheme="minorHAnsi"/>
          <w:lang w:eastAsia="en-US"/>
        </w:rPr>
        <w:t>s</w:t>
      </w:r>
      <w:r w:rsidRPr="000E2E68">
        <w:rPr>
          <w:rFonts w:eastAsiaTheme="minorHAnsi"/>
          <w:lang w:eastAsia="en-US"/>
        </w:rPr>
        <w:t xml:space="preserve"> out the proposed revised capital programme and funding over the period 2018/19 to 2021/22. </w:t>
      </w:r>
      <w:r w:rsidR="008B357F">
        <w:rPr>
          <w:rFonts w:eastAsiaTheme="minorHAnsi"/>
          <w:lang w:eastAsia="en-US"/>
        </w:rPr>
        <w:t>The revised spend forecast has resulted in a potential saving in the debt charges for 2018/19 of £460k, this is due to the deferral of schemes to later years</w:t>
      </w:r>
      <w:r w:rsidR="00A4711E">
        <w:rPr>
          <w:rFonts w:eastAsiaTheme="minorHAnsi"/>
          <w:lang w:eastAsia="en-US"/>
        </w:rPr>
        <w:t xml:space="preserve">. </w:t>
      </w:r>
      <w:r w:rsidR="008B357F">
        <w:rPr>
          <w:rFonts w:eastAsiaTheme="minorHAnsi"/>
          <w:lang w:eastAsia="en-US"/>
        </w:rPr>
        <w:t>Future</w:t>
      </w:r>
      <w:r w:rsidR="008B357F" w:rsidRPr="00A4711E">
        <w:rPr>
          <w:rFonts w:eastAsiaTheme="minorHAnsi"/>
          <w:lang w:eastAsia="en-US"/>
        </w:rPr>
        <w:t xml:space="preserve"> borrowing requirements will be reviewed as part of the ongoing budget process.  </w:t>
      </w:r>
      <w:r w:rsidRPr="000E2E68">
        <w:rPr>
          <w:rFonts w:eastAsiaTheme="minorHAnsi"/>
          <w:lang w:eastAsia="en-US"/>
        </w:rPr>
        <w:t>Additional detail on th</w:t>
      </w:r>
      <w:r w:rsidR="005D0D66">
        <w:rPr>
          <w:rFonts w:eastAsiaTheme="minorHAnsi"/>
          <w:lang w:eastAsia="en-US"/>
        </w:rPr>
        <w:t>e</w:t>
      </w:r>
      <w:r w:rsidRPr="000E2E68">
        <w:rPr>
          <w:rFonts w:eastAsiaTheme="minorHAnsi"/>
          <w:lang w:eastAsia="en-US"/>
        </w:rPr>
        <w:t>se figures can be found in Appendix 3.</w:t>
      </w:r>
    </w:p>
    <w:p w:rsidR="002473E0" w:rsidRPr="00B36B19" w:rsidRDefault="002473E0" w:rsidP="00B36B19">
      <w:pPr>
        <w:pStyle w:val="ListParagraph"/>
        <w:spacing w:after="0"/>
        <w:rPr>
          <w:b/>
        </w:rPr>
      </w:pPr>
      <w:r w:rsidRPr="00B36B19">
        <w:rPr>
          <w:b/>
        </w:rPr>
        <w:t>Table 5 – Proposed Revised Capital Programme and Funding for Future Years</w:t>
      </w:r>
    </w:p>
    <w:tbl>
      <w:tblPr>
        <w:tblStyle w:val="TableGrid"/>
        <w:tblW w:w="5075" w:type="pct"/>
        <w:tblLayout w:type="fixed"/>
        <w:tblLook w:val="04A0" w:firstRow="1" w:lastRow="0" w:firstColumn="1" w:lastColumn="0" w:noHBand="0" w:noVBand="1"/>
      </w:tblPr>
      <w:tblGrid>
        <w:gridCol w:w="2944"/>
        <w:gridCol w:w="1415"/>
        <w:gridCol w:w="1415"/>
        <w:gridCol w:w="1409"/>
        <w:gridCol w:w="1408"/>
        <w:gridCol w:w="1412"/>
      </w:tblGrid>
      <w:tr w:rsidR="00807719" w:rsidTr="000E2E68">
        <w:trPr>
          <w:trHeight w:val="70"/>
        </w:trPr>
        <w:tc>
          <w:tcPr>
            <w:tcW w:w="1471"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b/>
                <w:sz w:val="20"/>
                <w:szCs w:val="20"/>
              </w:rPr>
            </w:pPr>
            <w:r>
              <w:rPr>
                <w:b/>
                <w:sz w:val="20"/>
                <w:szCs w:val="20"/>
              </w:rPr>
              <w:t>Budget Year</w:t>
            </w:r>
          </w:p>
        </w:tc>
        <w:tc>
          <w:tcPr>
            <w:tcW w:w="70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b/>
                <w:sz w:val="20"/>
                <w:szCs w:val="20"/>
              </w:rPr>
            </w:pPr>
            <w:r>
              <w:rPr>
                <w:b/>
                <w:sz w:val="20"/>
                <w:szCs w:val="20"/>
              </w:rPr>
              <w:t>2017-18</w:t>
            </w:r>
          </w:p>
        </w:tc>
        <w:tc>
          <w:tcPr>
            <w:tcW w:w="70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b/>
                <w:sz w:val="20"/>
                <w:szCs w:val="20"/>
              </w:rPr>
            </w:pPr>
            <w:r>
              <w:rPr>
                <w:b/>
                <w:sz w:val="20"/>
                <w:szCs w:val="20"/>
              </w:rPr>
              <w:t>2018-19</w:t>
            </w:r>
          </w:p>
        </w:tc>
        <w:tc>
          <w:tcPr>
            <w:tcW w:w="704"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b/>
                <w:sz w:val="20"/>
                <w:szCs w:val="20"/>
              </w:rPr>
            </w:pPr>
            <w:r>
              <w:rPr>
                <w:b/>
                <w:sz w:val="20"/>
                <w:szCs w:val="20"/>
              </w:rPr>
              <w:t>2019-20</w:t>
            </w:r>
          </w:p>
        </w:tc>
        <w:tc>
          <w:tcPr>
            <w:tcW w:w="704"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b/>
                <w:sz w:val="20"/>
                <w:szCs w:val="20"/>
              </w:rPr>
            </w:pPr>
            <w:r>
              <w:rPr>
                <w:b/>
                <w:sz w:val="20"/>
                <w:szCs w:val="20"/>
              </w:rPr>
              <w:t>2020-21</w:t>
            </w:r>
          </w:p>
        </w:tc>
        <w:tc>
          <w:tcPr>
            <w:tcW w:w="706"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b/>
                <w:sz w:val="20"/>
                <w:szCs w:val="20"/>
              </w:rPr>
            </w:pPr>
            <w:r>
              <w:rPr>
                <w:b/>
                <w:sz w:val="20"/>
                <w:szCs w:val="20"/>
              </w:rPr>
              <w:t>2021-22</w:t>
            </w:r>
          </w:p>
        </w:tc>
      </w:tr>
      <w:tr w:rsidR="00807719" w:rsidTr="000E2E68">
        <w:trPr>
          <w:trHeight w:val="139"/>
        </w:trPr>
        <w:tc>
          <w:tcPr>
            <w:tcW w:w="1471"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sz w:val="20"/>
                <w:szCs w:val="20"/>
              </w:rPr>
            </w:pPr>
            <w:r>
              <w:rPr>
                <w:sz w:val="20"/>
                <w:szCs w:val="20"/>
              </w:rPr>
              <w:t>ICT</w:t>
            </w:r>
          </w:p>
        </w:tc>
        <w:tc>
          <w:tcPr>
            <w:tcW w:w="70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1,483</w:t>
            </w:r>
          </w:p>
        </w:tc>
        <w:tc>
          <w:tcPr>
            <w:tcW w:w="70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5,385</w:t>
            </w:r>
          </w:p>
        </w:tc>
        <w:tc>
          <w:tcPr>
            <w:tcW w:w="704"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815</w:t>
            </w:r>
          </w:p>
        </w:tc>
        <w:tc>
          <w:tcPr>
            <w:tcW w:w="704"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2,360</w:t>
            </w:r>
          </w:p>
        </w:tc>
        <w:tc>
          <w:tcPr>
            <w:tcW w:w="706"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2,000</w:t>
            </w:r>
          </w:p>
        </w:tc>
      </w:tr>
      <w:tr w:rsidR="00807719" w:rsidTr="000E2E68">
        <w:trPr>
          <w:trHeight w:val="139"/>
        </w:trPr>
        <w:tc>
          <w:tcPr>
            <w:tcW w:w="1471"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sz w:val="20"/>
                <w:szCs w:val="20"/>
              </w:rPr>
            </w:pPr>
            <w:r>
              <w:rPr>
                <w:sz w:val="20"/>
                <w:szCs w:val="20"/>
              </w:rPr>
              <w:t>Fleet</w:t>
            </w:r>
          </w:p>
        </w:tc>
        <w:tc>
          <w:tcPr>
            <w:tcW w:w="70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14,183</w:t>
            </w:r>
          </w:p>
        </w:tc>
        <w:tc>
          <w:tcPr>
            <w:tcW w:w="70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bCs/>
                <w:sz w:val="20"/>
                <w:szCs w:val="20"/>
              </w:rPr>
              <w:t>23,287</w:t>
            </w:r>
          </w:p>
        </w:tc>
        <w:tc>
          <w:tcPr>
            <w:tcW w:w="704"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25,290</w:t>
            </w:r>
          </w:p>
        </w:tc>
        <w:tc>
          <w:tcPr>
            <w:tcW w:w="704"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10,738</w:t>
            </w:r>
          </w:p>
        </w:tc>
        <w:tc>
          <w:tcPr>
            <w:tcW w:w="706"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11,680</w:t>
            </w:r>
          </w:p>
        </w:tc>
      </w:tr>
      <w:tr w:rsidR="00807719" w:rsidTr="000E2E68">
        <w:trPr>
          <w:trHeight w:val="139"/>
        </w:trPr>
        <w:tc>
          <w:tcPr>
            <w:tcW w:w="1471"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sz w:val="20"/>
                <w:szCs w:val="20"/>
              </w:rPr>
            </w:pPr>
            <w:r>
              <w:rPr>
                <w:sz w:val="20"/>
                <w:szCs w:val="20"/>
              </w:rPr>
              <w:t>Property</w:t>
            </w:r>
          </w:p>
        </w:tc>
        <w:tc>
          <w:tcPr>
            <w:tcW w:w="70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5,147</w:t>
            </w:r>
          </w:p>
        </w:tc>
        <w:tc>
          <w:tcPr>
            <w:tcW w:w="70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19,279</w:t>
            </w:r>
          </w:p>
        </w:tc>
        <w:tc>
          <w:tcPr>
            <w:tcW w:w="704"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21,116</w:t>
            </w:r>
          </w:p>
        </w:tc>
        <w:tc>
          <w:tcPr>
            <w:tcW w:w="704"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8,284</w:t>
            </w:r>
          </w:p>
        </w:tc>
        <w:tc>
          <w:tcPr>
            <w:tcW w:w="706"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9,410</w:t>
            </w:r>
          </w:p>
        </w:tc>
      </w:tr>
      <w:tr w:rsidR="00807719" w:rsidTr="000E2E68">
        <w:trPr>
          <w:trHeight w:val="139"/>
        </w:trPr>
        <w:tc>
          <w:tcPr>
            <w:tcW w:w="1471"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sz w:val="20"/>
                <w:szCs w:val="20"/>
              </w:rPr>
            </w:pPr>
            <w:r>
              <w:rPr>
                <w:sz w:val="20"/>
                <w:szCs w:val="20"/>
              </w:rPr>
              <w:t>Disposal Fees</w:t>
            </w:r>
          </w:p>
        </w:tc>
        <w:tc>
          <w:tcPr>
            <w:tcW w:w="70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204</w:t>
            </w:r>
          </w:p>
        </w:tc>
        <w:tc>
          <w:tcPr>
            <w:tcW w:w="70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0</w:t>
            </w:r>
          </w:p>
        </w:tc>
        <w:tc>
          <w:tcPr>
            <w:tcW w:w="704"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c>
          <w:tcPr>
            <w:tcW w:w="704"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c>
          <w:tcPr>
            <w:tcW w:w="706"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r>
      <w:tr w:rsidR="00807719" w:rsidTr="000E2E68">
        <w:trPr>
          <w:trHeight w:val="139"/>
        </w:trPr>
        <w:tc>
          <w:tcPr>
            <w:tcW w:w="1471"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sz w:val="20"/>
                <w:szCs w:val="20"/>
              </w:rPr>
            </w:pPr>
            <w:r>
              <w:rPr>
                <w:sz w:val="20"/>
                <w:szCs w:val="20"/>
              </w:rPr>
              <w:t>Contingency</w:t>
            </w:r>
          </w:p>
        </w:tc>
        <w:tc>
          <w:tcPr>
            <w:tcW w:w="70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0</w:t>
            </w:r>
          </w:p>
        </w:tc>
        <w:tc>
          <w:tcPr>
            <w:tcW w:w="70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(6,686)</w:t>
            </w:r>
          </w:p>
        </w:tc>
        <w:tc>
          <w:tcPr>
            <w:tcW w:w="704"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0</w:t>
            </w:r>
          </w:p>
        </w:tc>
        <w:tc>
          <w:tcPr>
            <w:tcW w:w="704"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0</w:t>
            </w:r>
          </w:p>
        </w:tc>
        <w:tc>
          <w:tcPr>
            <w:tcW w:w="706"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0</w:t>
            </w:r>
          </w:p>
        </w:tc>
      </w:tr>
      <w:tr w:rsidR="00807719" w:rsidTr="000E2E68">
        <w:trPr>
          <w:trHeight w:val="70"/>
        </w:trPr>
        <w:tc>
          <w:tcPr>
            <w:tcW w:w="1471"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b/>
                <w:sz w:val="20"/>
                <w:szCs w:val="20"/>
              </w:rPr>
            </w:pPr>
            <w:r>
              <w:rPr>
                <w:b/>
                <w:sz w:val="20"/>
                <w:szCs w:val="20"/>
              </w:rPr>
              <w:t xml:space="preserve">Capital Programme </w:t>
            </w:r>
          </w:p>
        </w:tc>
        <w:tc>
          <w:tcPr>
            <w:tcW w:w="70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b/>
                <w:sz w:val="20"/>
                <w:szCs w:val="20"/>
              </w:rPr>
            </w:pPr>
            <w:r>
              <w:rPr>
                <w:b/>
                <w:sz w:val="20"/>
                <w:szCs w:val="20"/>
              </w:rPr>
              <w:t>21,017</w:t>
            </w:r>
          </w:p>
        </w:tc>
        <w:tc>
          <w:tcPr>
            <w:tcW w:w="70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b/>
                <w:sz w:val="20"/>
                <w:szCs w:val="20"/>
              </w:rPr>
            </w:pPr>
            <w:r>
              <w:rPr>
                <w:b/>
                <w:sz w:val="20"/>
                <w:szCs w:val="20"/>
              </w:rPr>
              <w:t>41,265</w:t>
            </w:r>
          </w:p>
        </w:tc>
        <w:tc>
          <w:tcPr>
            <w:tcW w:w="704"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b/>
                <w:sz w:val="20"/>
                <w:szCs w:val="20"/>
              </w:rPr>
            </w:pPr>
            <w:r>
              <w:rPr>
                <w:b/>
                <w:sz w:val="20"/>
                <w:szCs w:val="20"/>
              </w:rPr>
              <w:t>47,221</w:t>
            </w:r>
          </w:p>
        </w:tc>
        <w:tc>
          <w:tcPr>
            <w:tcW w:w="704"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b/>
                <w:sz w:val="20"/>
                <w:szCs w:val="20"/>
              </w:rPr>
            </w:pPr>
            <w:r>
              <w:rPr>
                <w:b/>
                <w:sz w:val="20"/>
                <w:szCs w:val="20"/>
              </w:rPr>
              <w:t>21,382</w:t>
            </w:r>
          </w:p>
        </w:tc>
        <w:tc>
          <w:tcPr>
            <w:tcW w:w="706"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b/>
                <w:sz w:val="20"/>
                <w:szCs w:val="20"/>
              </w:rPr>
            </w:pPr>
            <w:r>
              <w:rPr>
                <w:b/>
                <w:sz w:val="20"/>
                <w:szCs w:val="20"/>
              </w:rPr>
              <w:t>23,090</w:t>
            </w:r>
          </w:p>
        </w:tc>
      </w:tr>
    </w:tbl>
    <w:p w:rsidR="00807719" w:rsidRDefault="00807719" w:rsidP="00807719">
      <w:pPr>
        <w:pStyle w:val="NumbList"/>
        <w:tabs>
          <w:tab w:val="left" w:pos="720"/>
        </w:tabs>
        <w:spacing w:after="0"/>
        <w:ind w:left="425"/>
      </w:pPr>
    </w:p>
    <w:tbl>
      <w:tblPr>
        <w:tblStyle w:val="TableGrid"/>
        <w:tblW w:w="5068" w:type="pct"/>
        <w:tblLayout w:type="fixed"/>
        <w:tblLook w:val="04A0" w:firstRow="1" w:lastRow="0" w:firstColumn="1" w:lastColumn="0" w:noHBand="0" w:noVBand="1"/>
      </w:tblPr>
      <w:tblGrid>
        <w:gridCol w:w="2984"/>
        <w:gridCol w:w="1377"/>
        <w:gridCol w:w="1376"/>
        <w:gridCol w:w="1372"/>
        <w:gridCol w:w="1506"/>
        <w:gridCol w:w="1374"/>
      </w:tblGrid>
      <w:tr w:rsidR="00807719" w:rsidTr="000E2E68">
        <w:trPr>
          <w:cantSplit/>
          <w:trHeight w:val="272"/>
        </w:trPr>
        <w:tc>
          <w:tcPr>
            <w:tcW w:w="1493"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b/>
                <w:sz w:val="20"/>
                <w:szCs w:val="20"/>
              </w:rPr>
            </w:pPr>
            <w:r>
              <w:rPr>
                <w:b/>
                <w:sz w:val="20"/>
                <w:szCs w:val="20"/>
              </w:rPr>
              <w:t>Budget Year</w:t>
            </w:r>
          </w:p>
        </w:tc>
        <w:tc>
          <w:tcPr>
            <w:tcW w:w="689"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b/>
                <w:sz w:val="20"/>
                <w:szCs w:val="20"/>
              </w:rPr>
            </w:pPr>
            <w:r>
              <w:rPr>
                <w:b/>
                <w:sz w:val="20"/>
                <w:szCs w:val="20"/>
              </w:rPr>
              <w:t>2017-18</w:t>
            </w:r>
          </w:p>
        </w:tc>
        <w:tc>
          <w:tcPr>
            <w:tcW w:w="689"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b/>
                <w:sz w:val="20"/>
                <w:szCs w:val="20"/>
              </w:rPr>
            </w:pPr>
            <w:r>
              <w:rPr>
                <w:b/>
                <w:sz w:val="20"/>
                <w:szCs w:val="20"/>
              </w:rPr>
              <w:t>2018-19</w:t>
            </w:r>
          </w:p>
        </w:tc>
        <w:tc>
          <w:tcPr>
            <w:tcW w:w="68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b/>
                <w:sz w:val="20"/>
                <w:szCs w:val="20"/>
              </w:rPr>
            </w:pPr>
            <w:r>
              <w:rPr>
                <w:b/>
                <w:sz w:val="20"/>
                <w:szCs w:val="20"/>
              </w:rPr>
              <w:t>2019-20</w:t>
            </w:r>
          </w:p>
        </w:tc>
        <w:tc>
          <w:tcPr>
            <w:tcW w:w="754"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b/>
                <w:sz w:val="20"/>
                <w:szCs w:val="20"/>
              </w:rPr>
            </w:pPr>
            <w:r>
              <w:rPr>
                <w:b/>
                <w:sz w:val="20"/>
                <w:szCs w:val="20"/>
              </w:rPr>
              <w:t>2020-21</w:t>
            </w:r>
          </w:p>
        </w:tc>
        <w:tc>
          <w:tcPr>
            <w:tcW w:w="689"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b/>
                <w:sz w:val="20"/>
                <w:szCs w:val="20"/>
              </w:rPr>
            </w:pPr>
            <w:r>
              <w:rPr>
                <w:b/>
                <w:sz w:val="20"/>
                <w:szCs w:val="20"/>
              </w:rPr>
              <w:t>2021-22</w:t>
            </w:r>
          </w:p>
        </w:tc>
      </w:tr>
      <w:tr w:rsidR="00807719" w:rsidTr="000E2E68">
        <w:trPr>
          <w:cantSplit/>
          <w:trHeight w:val="139"/>
        </w:trPr>
        <w:tc>
          <w:tcPr>
            <w:tcW w:w="1493"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b/>
                <w:sz w:val="20"/>
                <w:szCs w:val="20"/>
              </w:rPr>
            </w:pPr>
            <w:r>
              <w:rPr>
                <w:b/>
                <w:sz w:val="20"/>
                <w:szCs w:val="20"/>
              </w:rPr>
              <w:t>Financing Req</w:t>
            </w:r>
            <w:r w:rsidR="00BB5FA9">
              <w:rPr>
                <w:b/>
                <w:sz w:val="20"/>
                <w:szCs w:val="20"/>
              </w:rPr>
              <w:t>uirement</w:t>
            </w:r>
          </w:p>
        </w:tc>
        <w:tc>
          <w:tcPr>
            <w:tcW w:w="689"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b/>
                <w:sz w:val="20"/>
                <w:szCs w:val="20"/>
              </w:rPr>
            </w:pPr>
            <w:r>
              <w:rPr>
                <w:b/>
                <w:sz w:val="20"/>
                <w:szCs w:val="20"/>
              </w:rPr>
              <w:t>21,017</w:t>
            </w:r>
          </w:p>
        </w:tc>
        <w:tc>
          <w:tcPr>
            <w:tcW w:w="689"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b/>
                <w:sz w:val="20"/>
                <w:szCs w:val="20"/>
              </w:rPr>
            </w:pPr>
            <w:r>
              <w:rPr>
                <w:b/>
                <w:sz w:val="20"/>
                <w:szCs w:val="20"/>
              </w:rPr>
              <w:t>41,265</w:t>
            </w:r>
          </w:p>
        </w:tc>
        <w:tc>
          <w:tcPr>
            <w:tcW w:w="68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b/>
                <w:sz w:val="20"/>
                <w:szCs w:val="20"/>
              </w:rPr>
            </w:pPr>
            <w:r>
              <w:rPr>
                <w:b/>
                <w:sz w:val="20"/>
                <w:szCs w:val="20"/>
              </w:rPr>
              <w:t>47,221</w:t>
            </w:r>
          </w:p>
        </w:tc>
        <w:tc>
          <w:tcPr>
            <w:tcW w:w="754"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b/>
                <w:sz w:val="20"/>
                <w:szCs w:val="20"/>
              </w:rPr>
            </w:pPr>
            <w:r>
              <w:rPr>
                <w:b/>
                <w:sz w:val="20"/>
                <w:szCs w:val="20"/>
              </w:rPr>
              <w:t>21,382</w:t>
            </w:r>
          </w:p>
        </w:tc>
        <w:tc>
          <w:tcPr>
            <w:tcW w:w="689"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b/>
                <w:sz w:val="20"/>
                <w:szCs w:val="20"/>
              </w:rPr>
            </w:pPr>
            <w:r>
              <w:rPr>
                <w:b/>
                <w:sz w:val="20"/>
                <w:szCs w:val="20"/>
              </w:rPr>
              <w:t>23,090</w:t>
            </w:r>
          </w:p>
        </w:tc>
      </w:tr>
      <w:tr w:rsidR="00807719" w:rsidTr="000E2E68">
        <w:trPr>
          <w:cantSplit/>
          <w:trHeight w:val="139"/>
        </w:trPr>
        <w:tc>
          <w:tcPr>
            <w:tcW w:w="1493"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sz w:val="20"/>
                <w:szCs w:val="20"/>
              </w:rPr>
            </w:pPr>
            <w:r>
              <w:rPr>
                <w:sz w:val="20"/>
                <w:szCs w:val="20"/>
              </w:rPr>
              <w:t>Capital Receipts</w:t>
            </w:r>
          </w:p>
        </w:tc>
        <w:tc>
          <w:tcPr>
            <w:tcW w:w="689"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(20,842)</w:t>
            </w:r>
          </w:p>
        </w:tc>
        <w:tc>
          <w:tcPr>
            <w:tcW w:w="689"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(29,270)</w:t>
            </w:r>
          </w:p>
        </w:tc>
        <w:tc>
          <w:tcPr>
            <w:tcW w:w="68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(21,245)</w:t>
            </w:r>
          </w:p>
        </w:tc>
        <w:tc>
          <w:tcPr>
            <w:tcW w:w="754"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c>
          <w:tcPr>
            <w:tcW w:w="689"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r>
      <w:tr w:rsidR="00807719" w:rsidTr="000E2E68">
        <w:trPr>
          <w:cantSplit/>
          <w:trHeight w:val="139"/>
        </w:trPr>
        <w:tc>
          <w:tcPr>
            <w:tcW w:w="1493"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sz w:val="20"/>
                <w:szCs w:val="20"/>
              </w:rPr>
            </w:pPr>
            <w:r>
              <w:rPr>
                <w:sz w:val="20"/>
                <w:szCs w:val="20"/>
              </w:rPr>
              <w:t>Grants</w:t>
            </w:r>
          </w:p>
        </w:tc>
        <w:tc>
          <w:tcPr>
            <w:tcW w:w="689"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(175)</w:t>
            </w:r>
          </w:p>
        </w:tc>
        <w:tc>
          <w:tcPr>
            <w:tcW w:w="689"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(195)</w:t>
            </w:r>
          </w:p>
        </w:tc>
        <w:tc>
          <w:tcPr>
            <w:tcW w:w="687"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c>
          <w:tcPr>
            <w:tcW w:w="754"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c>
          <w:tcPr>
            <w:tcW w:w="689"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r>
      <w:tr w:rsidR="00807719" w:rsidTr="000E2E68">
        <w:trPr>
          <w:cantSplit/>
          <w:trHeight w:val="139"/>
        </w:trPr>
        <w:tc>
          <w:tcPr>
            <w:tcW w:w="1493"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sz w:val="20"/>
                <w:szCs w:val="20"/>
              </w:rPr>
            </w:pPr>
            <w:r>
              <w:rPr>
                <w:sz w:val="20"/>
                <w:szCs w:val="20"/>
              </w:rPr>
              <w:t>GLA Funding</w:t>
            </w:r>
          </w:p>
        </w:tc>
        <w:tc>
          <w:tcPr>
            <w:tcW w:w="689"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c>
          <w:tcPr>
            <w:tcW w:w="689"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(11,800)</w:t>
            </w:r>
          </w:p>
        </w:tc>
        <w:tc>
          <w:tcPr>
            <w:tcW w:w="687"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c>
          <w:tcPr>
            <w:tcW w:w="754"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c>
          <w:tcPr>
            <w:tcW w:w="689"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r>
      <w:tr w:rsidR="00807719" w:rsidTr="000E2E68">
        <w:trPr>
          <w:cantSplit/>
          <w:trHeight w:val="139"/>
        </w:trPr>
        <w:tc>
          <w:tcPr>
            <w:tcW w:w="1493"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sz w:val="20"/>
                <w:szCs w:val="20"/>
              </w:rPr>
            </w:pPr>
            <w:r>
              <w:rPr>
                <w:sz w:val="20"/>
                <w:szCs w:val="20"/>
              </w:rPr>
              <w:t>Charitable Contribution</w:t>
            </w:r>
          </w:p>
        </w:tc>
        <w:tc>
          <w:tcPr>
            <w:tcW w:w="689"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c>
          <w:tcPr>
            <w:tcW w:w="689"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c>
          <w:tcPr>
            <w:tcW w:w="68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(2,500)</w:t>
            </w:r>
          </w:p>
        </w:tc>
        <w:tc>
          <w:tcPr>
            <w:tcW w:w="754"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c>
          <w:tcPr>
            <w:tcW w:w="689"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r>
      <w:tr w:rsidR="00807719" w:rsidTr="000E2E68">
        <w:trPr>
          <w:cantSplit/>
          <w:trHeight w:val="281"/>
        </w:trPr>
        <w:tc>
          <w:tcPr>
            <w:tcW w:w="1493"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sz w:val="20"/>
                <w:szCs w:val="20"/>
              </w:rPr>
            </w:pPr>
            <w:r>
              <w:rPr>
                <w:sz w:val="20"/>
                <w:szCs w:val="20"/>
              </w:rPr>
              <w:t>External Borrowing</w:t>
            </w:r>
          </w:p>
        </w:tc>
        <w:tc>
          <w:tcPr>
            <w:tcW w:w="689"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c>
          <w:tcPr>
            <w:tcW w:w="689" w:type="pct"/>
            <w:tcBorders>
              <w:top w:val="single" w:sz="4" w:space="0" w:color="auto"/>
              <w:left w:val="single" w:sz="4" w:space="0" w:color="auto"/>
              <w:bottom w:val="single" w:sz="4" w:space="0" w:color="auto"/>
              <w:right w:val="single" w:sz="4" w:space="0" w:color="auto"/>
            </w:tcBorders>
          </w:tcPr>
          <w:p w:rsidR="00807719" w:rsidRDefault="00807719">
            <w:pPr>
              <w:spacing w:after="0" w:line="240" w:lineRule="auto"/>
              <w:jc w:val="right"/>
              <w:rPr>
                <w:sz w:val="20"/>
                <w:szCs w:val="20"/>
              </w:rPr>
            </w:pPr>
          </w:p>
        </w:tc>
        <w:tc>
          <w:tcPr>
            <w:tcW w:w="68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(23,476)</w:t>
            </w:r>
          </w:p>
        </w:tc>
        <w:tc>
          <w:tcPr>
            <w:tcW w:w="754"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(21,382)</w:t>
            </w:r>
          </w:p>
        </w:tc>
        <w:tc>
          <w:tcPr>
            <w:tcW w:w="689"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sz w:val="20"/>
                <w:szCs w:val="20"/>
              </w:rPr>
            </w:pPr>
            <w:r>
              <w:rPr>
                <w:sz w:val="20"/>
                <w:szCs w:val="20"/>
              </w:rPr>
              <w:t>(23,090)</w:t>
            </w:r>
          </w:p>
        </w:tc>
      </w:tr>
      <w:tr w:rsidR="00807719" w:rsidTr="000E2E68">
        <w:trPr>
          <w:cantSplit/>
          <w:trHeight w:val="139"/>
        </w:trPr>
        <w:tc>
          <w:tcPr>
            <w:tcW w:w="1493"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rPr>
                <w:b/>
                <w:sz w:val="20"/>
                <w:szCs w:val="20"/>
              </w:rPr>
            </w:pPr>
            <w:r>
              <w:rPr>
                <w:b/>
                <w:sz w:val="20"/>
                <w:szCs w:val="20"/>
              </w:rPr>
              <w:t xml:space="preserve">TOTAL </w:t>
            </w:r>
          </w:p>
        </w:tc>
        <w:tc>
          <w:tcPr>
            <w:tcW w:w="689"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b/>
                <w:sz w:val="20"/>
                <w:szCs w:val="20"/>
              </w:rPr>
            </w:pPr>
            <w:r>
              <w:rPr>
                <w:b/>
                <w:sz w:val="20"/>
                <w:szCs w:val="20"/>
              </w:rPr>
              <w:t>0</w:t>
            </w:r>
          </w:p>
        </w:tc>
        <w:tc>
          <w:tcPr>
            <w:tcW w:w="689"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b/>
                <w:sz w:val="20"/>
                <w:szCs w:val="20"/>
              </w:rPr>
            </w:pPr>
            <w:r>
              <w:rPr>
                <w:b/>
                <w:sz w:val="20"/>
                <w:szCs w:val="20"/>
              </w:rPr>
              <w:t>0</w:t>
            </w:r>
          </w:p>
        </w:tc>
        <w:tc>
          <w:tcPr>
            <w:tcW w:w="687"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b/>
                <w:sz w:val="20"/>
                <w:szCs w:val="20"/>
              </w:rPr>
            </w:pPr>
            <w:r>
              <w:rPr>
                <w:b/>
                <w:sz w:val="20"/>
                <w:szCs w:val="20"/>
              </w:rPr>
              <w:t>0</w:t>
            </w:r>
          </w:p>
        </w:tc>
        <w:tc>
          <w:tcPr>
            <w:tcW w:w="754"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b/>
                <w:sz w:val="20"/>
                <w:szCs w:val="20"/>
              </w:rPr>
            </w:pPr>
            <w:r>
              <w:rPr>
                <w:b/>
                <w:sz w:val="20"/>
                <w:szCs w:val="20"/>
              </w:rPr>
              <w:t>0</w:t>
            </w:r>
          </w:p>
        </w:tc>
        <w:tc>
          <w:tcPr>
            <w:tcW w:w="689"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b/>
                <w:sz w:val="20"/>
                <w:szCs w:val="20"/>
              </w:rPr>
            </w:pPr>
            <w:r>
              <w:rPr>
                <w:b/>
                <w:sz w:val="20"/>
                <w:szCs w:val="20"/>
              </w:rPr>
              <w:t>0</w:t>
            </w:r>
          </w:p>
        </w:tc>
      </w:tr>
    </w:tbl>
    <w:tbl>
      <w:tblPr>
        <w:tblStyle w:val="TableGrid"/>
        <w:tblpPr w:leftFromText="180" w:rightFromText="180" w:vertAnchor="text" w:horzAnchor="margin" w:tblpY="332"/>
        <w:tblW w:w="5089" w:type="pct"/>
        <w:tblLayout w:type="fixed"/>
        <w:tblLook w:val="04A0" w:firstRow="1" w:lastRow="0" w:firstColumn="1" w:lastColumn="0" w:noHBand="0" w:noVBand="1"/>
      </w:tblPr>
      <w:tblGrid>
        <w:gridCol w:w="2940"/>
        <w:gridCol w:w="1417"/>
        <w:gridCol w:w="1415"/>
        <w:gridCol w:w="1414"/>
        <w:gridCol w:w="1412"/>
        <w:gridCol w:w="1432"/>
      </w:tblGrid>
      <w:tr w:rsidR="005D0D66" w:rsidRPr="00070EC9" w:rsidTr="005D0D66">
        <w:tc>
          <w:tcPr>
            <w:tcW w:w="146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rPr>
                <w:b/>
                <w:sz w:val="20"/>
                <w:szCs w:val="20"/>
              </w:rPr>
            </w:pPr>
            <w:r w:rsidRPr="00070EC9">
              <w:rPr>
                <w:b/>
                <w:sz w:val="20"/>
                <w:szCs w:val="20"/>
              </w:rPr>
              <w:t>Budget Year</w:t>
            </w:r>
          </w:p>
        </w:tc>
        <w:tc>
          <w:tcPr>
            <w:tcW w:w="706"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rPr>
                <w:b/>
                <w:sz w:val="20"/>
                <w:szCs w:val="20"/>
              </w:rPr>
            </w:pPr>
            <w:r w:rsidRPr="00070EC9">
              <w:rPr>
                <w:b/>
                <w:sz w:val="20"/>
                <w:szCs w:val="20"/>
              </w:rPr>
              <w:t>2017-18</w:t>
            </w:r>
          </w:p>
        </w:tc>
        <w:tc>
          <w:tcPr>
            <w:tcW w:w="70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rPr>
                <w:b/>
                <w:sz w:val="20"/>
                <w:szCs w:val="20"/>
              </w:rPr>
            </w:pPr>
            <w:r w:rsidRPr="00070EC9">
              <w:rPr>
                <w:b/>
                <w:sz w:val="20"/>
                <w:szCs w:val="20"/>
              </w:rPr>
              <w:t>2018-19</w:t>
            </w:r>
          </w:p>
        </w:tc>
        <w:tc>
          <w:tcPr>
            <w:tcW w:w="70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rPr>
                <w:b/>
                <w:sz w:val="20"/>
                <w:szCs w:val="20"/>
              </w:rPr>
            </w:pPr>
            <w:r w:rsidRPr="00070EC9">
              <w:rPr>
                <w:b/>
                <w:sz w:val="20"/>
                <w:szCs w:val="20"/>
              </w:rPr>
              <w:t>2019-20</w:t>
            </w:r>
          </w:p>
        </w:tc>
        <w:tc>
          <w:tcPr>
            <w:tcW w:w="704"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rPr>
                <w:b/>
                <w:sz w:val="20"/>
                <w:szCs w:val="20"/>
              </w:rPr>
            </w:pPr>
            <w:r w:rsidRPr="00070EC9">
              <w:rPr>
                <w:b/>
                <w:sz w:val="20"/>
                <w:szCs w:val="20"/>
              </w:rPr>
              <w:t>2020-21</w:t>
            </w:r>
          </w:p>
        </w:tc>
        <w:tc>
          <w:tcPr>
            <w:tcW w:w="714"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rPr>
                <w:b/>
                <w:sz w:val="20"/>
                <w:szCs w:val="20"/>
              </w:rPr>
            </w:pPr>
            <w:r w:rsidRPr="00070EC9">
              <w:rPr>
                <w:b/>
                <w:sz w:val="20"/>
                <w:szCs w:val="20"/>
              </w:rPr>
              <w:t>2021-22</w:t>
            </w:r>
          </w:p>
        </w:tc>
      </w:tr>
      <w:tr w:rsidR="005D0D66" w:rsidRPr="00070EC9" w:rsidTr="005D0D66">
        <w:trPr>
          <w:trHeight w:val="139"/>
        </w:trPr>
        <w:tc>
          <w:tcPr>
            <w:tcW w:w="146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rPr>
                <w:b/>
                <w:sz w:val="20"/>
                <w:szCs w:val="20"/>
              </w:rPr>
            </w:pPr>
            <w:r w:rsidRPr="00070EC9">
              <w:rPr>
                <w:b/>
                <w:sz w:val="20"/>
                <w:szCs w:val="20"/>
              </w:rPr>
              <w:t>Capital Receipts C/fwd</w:t>
            </w:r>
          </w:p>
        </w:tc>
        <w:tc>
          <w:tcPr>
            <w:tcW w:w="706"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jc w:val="right"/>
              <w:rPr>
                <w:b/>
                <w:sz w:val="20"/>
                <w:szCs w:val="20"/>
              </w:rPr>
            </w:pPr>
            <w:r w:rsidRPr="00070EC9">
              <w:rPr>
                <w:b/>
                <w:sz w:val="20"/>
                <w:szCs w:val="20"/>
              </w:rPr>
              <w:t>21,496</w:t>
            </w:r>
          </w:p>
        </w:tc>
        <w:tc>
          <w:tcPr>
            <w:tcW w:w="70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jc w:val="right"/>
              <w:rPr>
                <w:b/>
                <w:sz w:val="20"/>
                <w:szCs w:val="20"/>
              </w:rPr>
            </w:pPr>
            <w:r w:rsidRPr="00070EC9">
              <w:rPr>
                <w:b/>
                <w:sz w:val="20"/>
                <w:szCs w:val="20"/>
              </w:rPr>
              <w:t>759</w:t>
            </w:r>
          </w:p>
        </w:tc>
        <w:tc>
          <w:tcPr>
            <w:tcW w:w="70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jc w:val="right"/>
              <w:rPr>
                <w:b/>
                <w:sz w:val="20"/>
                <w:szCs w:val="20"/>
              </w:rPr>
            </w:pPr>
            <w:r w:rsidRPr="00070EC9">
              <w:rPr>
                <w:b/>
                <w:sz w:val="20"/>
                <w:szCs w:val="20"/>
              </w:rPr>
              <w:t>117</w:t>
            </w:r>
          </w:p>
        </w:tc>
        <w:tc>
          <w:tcPr>
            <w:tcW w:w="704"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jc w:val="right"/>
              <w:rPr>
                <w:b/>
                <w:sz w:val="20"/>
                <w:szCs w:val="20"/>
              </w:rPr>
            </w:pPr>
            <w:r w:rsidRPr="00070EC9">
              <w:rPr>
                <w:b/>
                <w:sz w:val="20"/>
                <w:szCs w:val="20"/>
              </w:rPr>
              <w:t>0</w:t>
            </w:r>
          </w:p>
        </w:tc>
        <w:tc>
          <w:tcPr>
            <w:tcW w:w="714"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jc w:val="right"/>
              <w:rPr>
                <w:b/>
                <w:sz w:val="20"/>
                <w:szCs w:val="20"/>
              </w:rPr>
            </w:pPr>
            <w:r w:rsidRPr="00070EC9">
              <w:rPr>
                <w:b/>
                <w:sz w:val="20"/>
                <w:szCs w:val="20"/>
              </w:rPr>
              <w:t>0</w:t>
            </w:r>
          </w:p>
        </w:tc>
      </w:tr>
      <w:tr w:rsidR="005D0D66" w:rsidRPr="00070EC9" w:rsidTr="005D0D66">
        <w:trPr>
          <w:trHeight w:val="139"/>
        </w:trPr>
        <w:tc>
          <w:tcPr>
            <w:tcW w:w="146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rPr>
                <w:sz w:val="20"/>
                <w:szCs w:val="20"/>
              </w:rPr>
            </w:pPr>
            <w:r w:rsidRPr="00070EC9">
              <w:rPr>
                <w:sz w:val="20"/>
                <w:szCs w:val="20"/>
              </w:rPr>
              <w:t>Clerkenwell Receipt</w:t>
            </w:r>
          </w:p>
        </w:tc>
        <w:tc>
          <w:tcPr>
            <w:tcW w:w="706" w:type="pct"/>
            <w:tcBorders>
              <w:top w:val="single" w:sz="4" w:space="0" w:color="auto"/>
              <w:left w:val="single" w:sz="4" w:space="0" w:color="auto"/>
              <w:bottom w:val="single" w:sz="4" w:space="0" w:color="auto"/>
              <w:right w:val="single" w:sz="4" w:space="0" w:color="auto"/>
            </w:tcBorders>
          </w:tcPr>
          <w:p w:rsidR="00807719" w:rsidRPr="00070EC9" w:rsidRDefault="00807719">
            <w:pPr>
              <w:spacing w:after="0" w:line="240" w:lineRule="auto"/>
              <w:jc w:val="right"/>
              <w:rPr>
                <w:sz w:val="20"/>
                <w:szCs w:val="20"/>
              </w:rPr>
            </w:pPr>
          </w:p>
        </w:tc>
        <w:tc>
          <w:tcPr>
            <w:tcW w:w="70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jc w:val="right"/>
              <w:rPr>
                <w:sz w:val="20"/>
                <w:szCs w:val="20"/>
              </w:rPr>
            </w:pPr>
            <w:r w:rsidRPr="00070EC9">
              <w:rPr>
                <w:sz w:val="20"/>
                <w:szCs w:val="20"/>
              </w:rPr>
              <w:t>7,500</w:t>
            </w:r>
          </w:p>
        </w:tc>
        <w:tc>
          <w:tcPr>
            <w:tcW w:w="705" w:type="pct"/>
            <w:tcBorders>
              <w:top w:val="single" w:sz="4" w:space="0" w:color="auto"/>
              <w:left w:val="single" w:sz="4" w:space="0" w:color="auto"/>
              <w:bottom w:val="single" w:sz="4" w:space="0" w:color="auto"/>
              <w:right w:val="single" w:sz="4" w:space="0" w:color="auto"/>
            </w:tcBorders>
          </w:tcPr>
          <w:p w:rsidR="00807719" w:rsidRPr="00070EC9" w:rsidRDefault="00807719">
            <w:pPr>
              <w:spacing w:after="0" w:line="240" w:lineRule="auto"/>
              <w:jc w:val="right"/>
              <w:rPr>
                <w:sz w:val="20"/>
                <w:szCs w:val="20"/>
              </w:rPr>
            </w:pPr>
          </w:p>
        </w:tc>
        <w:tc>
          <w:tcPr>
            <w:tcW w:w="704" w:type="pct"/>
            <w:tcBorders>
              <w:top w:val="single" w:sz="4" w:space="0" w:color="auto"/>
              <w:left w:val="single" w:sz="4" w:space="0" w:color="auto"/>
              <w:bottom w:val="single" w:sz="4" w:space="0" w:color="auto"/>
              <w:right w:val="single" w:sz="4" w:space="0" w:color="auto"/>
            </w:tcBorders>
          </w:tcPr>
          <w:p w:rsidR="00807719" w:rsidRPr="00070EC9" w:rsidRDefault="00807719">
            <w:pPr>
              <w:spacing w:after="0" w:line="240" w:lineRule="auto"/>
              <w:jc w:val="right"/>
              <w:rPr>
                <w:sz w:val="20"/>
                <w:szCs w:val="20"/>
              </w:rPr>
            </w:pPr>
          </w:p>
        </w:tc>
        <w:tc>
          <w:tcPr>
            <w:tcW w:w="714" w:type="pct"/>
            <w:tcBorders>
              <w:top w:val="single" w:sz="4" w:space="0" w:color="auto"/>
              <w:left w:val="single" w:sz="4" w:space="0" w:color="auto"/>
              <w:bottom w:val="single" w:sz="4" w:space="0" w:color="auto"/>
              <w:right w:val="single" w:sz="4" w:space="0" w:color="auto"/>
            </w:tcBorders>
          </w:tcPr>
          <w:p w:rsidR="00807719" w:rsidRPr="00070EC9" w:rsidRDefault="00807719">
            <w:pPr>
              <w:spacing w:after="0" w:line="240" w:lineRule="auto"/>
              <w:jc w:val="right"/>
              <w:rPr>
                <w:sz w:val="20"/>
                <w:szCs w:val="20"/>
              </w:rPr>
            </w:pPr>
          </w:p>
        </w:tc>
      </w:tr>
      <w:tr w:rsidR="005D0D66" w:rsidRPr="00070EC9" w:rsidTr="005D0D66">
        <w:trPr>
          <w:trHeight w:val="139"/>
        </w:trPr>
        <w:tc>
          <w:tcPr>
            <w:tcW w:w="146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rPr>
                <w:sz w:val="20"/>
                <w:szCs w:val="20"/>
              </w:rPr>
            </w:pPr>
            <w:r w:rsidRPr="00070EC9">
              <w:rPr>
                <w:sz w:val="20"/>
                <w:szCs w:val="20"/>
              </w:rPr>
              <w:t>Southwark Receipt</w:t>
            </w:r>
          </w:p>
        </w:tc>
        <w:tc>
          <w:tcPr>
            <w:tcW w:w="706" w:type="pct"/>
            <w:tcBorders>
              <w:top w:val="single" w:sz="4" w:space="0" w:color="auto"/>
              <w:left w:val="single" w:sz="4" w:space="0" w:color="auto"/>
              <w:bottom w:val="single" w:sz="4" w:space="0" w:color="auto"/>
              <w:right w:val="single" w:sz="4" w:space="0" w:color="auto"/>
            </w:tcBorders>
          </w:tcPr>
          <w:p w:rsidR="00807719" w:rsidRPr="00070EC9" w:rsidRDefault="00807719">
            <w:pPr>
              <w:spacing w:after="0" w:line="240" w:lineRule="auto"/>
              <w:jc w:val="right"/>
              <w:rPr>
                <w:sz w:val="20"/>
                <w:szCs w:val="20"/>
              </w:rPr>
            </w:pPr>
          </w:p>
        </w:tc>
        <w:tc>
          <w:tcPr>
            <w:tcW w:w="70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jc w:val="right"/>
              <w:rPr>
                <w:sz w:val="20"/>
                <w:szCs w:val="20"/>
              </w:rPr>
            </w:pPr>
            <w:r w:rsidRPr="00070EC9">
              <w:rPr>
                <w:sz w:val="20"/>
                <w:szCs w:val="20"/>
              </w:rPr>
              <w:t>21,128</w:t>
            </w:r>
          </w:p>
        </w:tc>
        <w:tc>
          <w:tcPr>
            <w:tcW w:w="70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jc w:val="right"/>
              <w:rPr>
                <w:sz w:val="20"/>
                <w:szCs w:val="20"/>
              </w:rPr>
            </w:pPr>
            <w:r w:rsidRPr="00070EC9">
              <w:rPr>
                <w:sz w:val="20"/>
                <w:szCs w:val="20"/>
              </w:rPr>
              <w:t>21,128</w:t>
            </w:r>
          </w:p>
        </w:tc>
        <w:tc>
          <w:tcPr>
            <w:tcW w:w="704" w:type="pct"/>
            <w:tcBorders>
              <w:top w:val="single" w:sz="4" w:space="0" w:color="auto"/>
              <w:left w:val="single" w:sz="4" w:space="0" w:color="auto"/>
              <w:bottom w:val="single" w:sz="4" w:space="0" w:color="auto"/>
              <w:right w:val="single" w:sz="4" w:space="0" w:color="auto"/>
            </w:tcBorders>
          </w:tcPr>
          <w:p w:rsidR="00807719" w:rsidRPr="00070EC9" w:rsidRDefault="00807719">
            <w:pPr>
              <w:spacing w:after="0" w:line="240" w:lineRule="auto"/>
              <w:jc w:val="right"/>
              <w:rPr>
                <w:sz w:val="20"/>
                <w:szCs w:val="20"/>
              </w:rPr>
            </w:pPr>
          </w:p>
        </w:tc>
        <w:tc>
          <w:tcPr>
            <w:tcW w:w="714" w:type="pct"/>
            <w:tcBorders>
              <w:top w:val="single" w:sz="4" w:space="0" w:color="auto"/>
              <w:left w:val="single" w:sz="4" w:space="0" w:color="auto"/>
              <w:bottom w:val="single" w:sz="4" w:space="0" w:color="auto"/>
              <w:right w:val="single" w:sz="4" w:space="0" w:color="auto"/>
            </w:tcBorders>
          </w:tcPr>
          <w:p w:rsidR="00807719" w:rsidRPr="00070EC9" w:rsidRDefault="00807719">
            <w:pPr>
              <w:spacing w:after="0" w:line="240" w:lineRule="auto"/>
              <w:jc w:val="right"/>
              <w:rPr>
                <w:sz w:val="20"/>
                <w:szCs w:val="20"/>
              </w:rPr>
            </w:pPr>
          </w:p>
        </w:tc>
      </w:tr>
      <w:tr w:rsidR="005D0D66" w:rsidRPr="00070EC9" w:rsidTr="005D0D66">
        <w:trPr>
          <w:trHeight w:val="139"/>
        </w:trPr>
        <w:tc>
          <w:tcPr>
            <w:tcW w:w="146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rPr>
                <w:sz w:val="20"/>
                <w:szCs w:val="20"/>
              </w:rPr>
            </w:pPr>
            <w:r w:rsidRPr="00070EC9">
              <w:rPr>
                <w:sz w:val="20"/>
                <w:szCs w:val="20"/>
              </w:rPr>
              <w:t>Sale of Fleet</w:t>
            </w:r>
          </w:p>
        </w:tc>
        <w:tc>
          <w:tcPr>
            <w:tcW w:w="706"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jc w:val="right"/>
              <w:rPr>
                <w:sz w:val="20"/>
                <w:szCs w:val="20"/>
              </w:rPr>
            </w:pPr>
            <w:r w:rsidRPr="00070EC9">
              <w:rPr>
                <w:sz w:val="20"/>
                <w:szCs w:val="20"/>
              </w:rPr>
              <w:t>105</w:t>
            </w:r>
          </w:p>
        </w:tc>
        <w:tc>
          <w:tcPr>
            <w:tcW w:w="705" w:type="pct"/>
            <w:tcBorders>
              <w:top w:val="single" w:sz="4" w:space="0" w:color="auto"/>
              <w:left w:val="single" w:sz="4" w:space="0" w:color="auto"/>
              <w:bottom w:val="single" w:sz="4" w:space="0" w:color="auto"/>
              <w:right w:val="single" w:sz="4" w:space="0" w:color="auto"/>
            </w:tcBorders>
          </w:tcPr>
          <w:p w:rsidR="00807719" w:rsidRPr="00070EC9" w:rsidRDefault="00807719">
            <w:pPr>
              <w:spacing w:after="0" w:line="240" w:lineRule="auto"/>
              <w:jc w:val="right"/>
              <w:rPr>
                <w:sz w:val="20"/>
                <w:szCs w:val="20"/>
              </w:rPr>
            </w:pPr>
          </w:p>
        </w:tc>
        <w:tc>
          <w:tcPr>
            <w:tcW w:w="705" w:type="pct"/>
            <w:tcBorders>
              <w:top w:val="single" w:sz="4" w:space="0" w:color="auto"/>
              <w:left w:val="single" w:sz="4" w:space="0" w:color="auto"/>
              <w:bottom w:val="single" w:sz="4" w:space="0" w:color="auto"/>
              <w:right w:val="single" w:sz="4" w:space="0" w:color="auto"/>
            </w:tcBorders>
          </w:tcPr>
          <w:p w:rsidR="00807719" w:rsidRPr="00070EC9" w:rsidRDefault="00807719">
            <w:pPr>
              <w:spacing w:after="0" w:line="240" w:lineRule="auto"/>
              <w:jc w:val="right"/>
              <w:rPr>
                <w:sz w:val="20"/>
                <w:szCs w:val="20"/>
              </w:rPr>
            </w:pPr>
          </w:p>
        </w:tc>
        <w:tc>
          <w:tcPr>
            <w:tcW w:w="704" w:type="pct"/>
            <w:tcBorders>
              <w:top w:val="single" w:sz="4" w:space="0" w:color="auto"/>
              <w:left w:val="single" w:sz="4" w:space="0" w:color="auto"/>
              <w:bottom w:val="single" w:sz="4" w:space="0" w:color="auto"/>
              <w:right w:val="single" w:sz="4" w:space="0" w:color="auto"/>
            </w:tcBorders>
          </w:tcPr>
          <w:p w:rsidR="00807719" w:rsidRPr="00070EC9" w:rsidRDefault="00807719">
            <w:pPr>
              <w:spacing w:after="0" w:line="240" w:lineRule="auto"/>
              <w:jc w:val="right"/>
              <w:rPr>
                <w:sz w:val="20"/>
                <w:szCs w:val="20"/>
              </w:rPr>
            </w:pPr>
          </w:p>
        </w:tc>
        <w:tc>
          <w:tcPr>
            <w:tcW w:w="714" w:type="pct"/>
            <w:tcBorders>
              <w:top w:val="single" w:sz="4" w:space="0" w:color="auto"/>
              <w:left w:val="single" w:sz="4" w:space="0" w:color="auto"/>
              <w:bottom w:val="single" w:sz="4" w:space="0" w:color="auto"/>
              <w:right w:val="single" w:sz="4" w:space="0" w:color="auto"/>
            </w:tcBorders>
          </w:tcPr>
          <w:p w:rsidR="00807719" w:rsidRPr="00070EC9" w:rsidRDefault="00807719">
            <w:pPr>
              <w:spacing w:after="0" w:line="240" w:lineRule="auto"/>
              <w:jc w:val="right"/>
              <w:rPr>
                <w:sz w:val="20"/>
                <w:szCs w:val="20"/>
              </w:rPr>
            </w:pPr>
          </w:p>
        </w:tc>
      </w:tr>
      <w:tr w:rsidR="005D0D66" w:rsidRPr="00070EC9" w:rsidTr="005D0D66">
        <w:trPr>
          <w:trHeight w:val="70"/>
        </w:trPr>
        <w:tc>
          <w:tcPr>
            <w:tcW w:w="146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rPr>
                <w:sz w:val="20"/>
                <w:szCs w:val="20"/>
              </w:rPr>
            </w:pPr>
            <w:r w:rsidRPr="00070EC9">
              <w:rPr>
                <w:sz w:val="20"/>
                <w:szCs w:val="20"/>
              </w:rPr>
              <w:t>Financing</w:t>
            </w:r>
          </w:p>
        </w:tc>
        <w:tc>
          <w:tcPr>
            <w:tcW w:w="706"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jc w:val="right"/>
              <w:rPr>
                <w:sz w:val="20"/>
                <w:szCs w:val="20"/>
              </w:rPr>
            </w:pPr>
            <w:r w:rsidRPr="00070EC9">
              <w:rPr>
                <w:sz w:val="20"/>
                <w:szCs w:val="20"/>
              </w:rPr>
              <w:t>(20,842)</w:t>
            </w:r>
          </w:p>
        </w:tc>
        <w:tc>
          <w:tcPr>
            <w:tcW w:w="70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jc w:val="right"/>
              <w:rPr>
                <w:sz w:val="20"/>
                <w:szCs w:val="20"/>
              </w:rPr>
            </w:pPr>
            <w:r w:rsidRPr="00070EC9">
              <w:rPr>
                <w:sz w:val="20"/>
                <w:szCs w:val="20"/>
              </w:rPr>
              <w:t>(29,270)</w:t>
            </w:r>
          </w:p>
        </w:tc>
        <w:tc>
          <w:tcPr>
            <w:tcW w:w="70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jc w:val="right"/>
              <w:rPr>
                <w:sz w:val="20"/>
                <w:szCs w:val="20"/>
              </w:rPr>
            </w:pPr>
            <w:r w:rsidRPr="00070EC9">
              <w:rPr>
                <w:sz w:val="20"/>
                <w:szCs w:val="20"/>
              </w:rPr>
              <w:t>(21,245)</w:t>
            </w:r>
          </w:p>
        </w:tc>
        <w:tc>
          <w:tcPr>
            <w:tcW w:w="704" w:type="pct"/>
            <w:tcBorders>
              <w:top w:val="single" w:sz="4" w:space="0" w:color="auto"/>
              <w:left w:val="single" w:sz="4" w:space="0" w:color="auto"/>
              <w:bottom w:val="single" w:sz="4" w:space="0" w:color="auto"/>
              <w:right w:val="single" w:sz="4" w:space="0" w:color="auto"/>
            </w:tcBorders>
          </w:tcPr>
          <w:p w:rsidR="00807719" w:rsidRPr="00070EC9" w:rsidRDefault="00807719">
            <w:pPr>
              <w:spacing w:after="0" w:line="240" w:lineRule="auto"/>
              <w:jc w:val="right"/>
              <w:rPr>
                <w:sz w:val="20"/>
                <w:szCs w:val="20"/>
              </w:rPr>
            </w:pPr>
          </w:p>
        </w:tc>
        <w:tc>
          <w:tcPr>
            <w:tcW w:w="714" w:type="pct"/>
            <w:tcBorders>
              <w:top w:val="single" w:sz="4" w:space="0" w:color="auto"/>
              <w:left w:val="single" w:sz="4" w:space="0" w:color="auto"/>
              <w:bottom w:val="single" w:sz="4" w:space="0" w:color="auto"/>
              <w:right w:val="single" w:sz="4" w:space="0" w:color="auto"/>
            </w:tcBorders>
          </w:tcPr>
          <w:p w:rsidR="00807719" w:rsidRPr="00070EC9" w:rsidRDefault="00807719">
            <w:pPr>
              <w:spacing w:after="0" w:line="240" w:lineRule="auto"/>
              <w:jc w:val="right"/>
              <w:rPr>
                <w:sz w:val="20"/>
                <w:szCs w:val="20"/>
              </w:rPr>
            </w:pPr>
          </w:p>
        </w:tc>
      </w:tr>
      <w:tr w:rsidR="005D0D66" w:rsidTr="005D0D66">
        <w:trPr>
          <w:trHeight w:val="139"/>
        </w:trPr>
        <w:tc>
          <w:tcPr>
            <w:tcW w:w="146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rPr>
                <w:b/>
                <w:sz w:val="20"/>
                <w:szCs w:val="20"/>
              </w:rPr>
            </w:pPr>
            <w:r w:rsidRPr="00070EC9">
              <w:rPr>
                <w:b/>
                <w:sz w:val="20"/>
                <w:szCs w:val="20"/>
              </w:rPr>
              <w:t xml:space="preserve">Capital Receipts Balance </w:t>
            </w:r>
          </w:p>
        </w:tc>
        <w:tc>
          <w:tcPr>
            <w:tcW w:w="706"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jc w:val="right"/>
              <w:rPr>
                <w:b/>
                <w:sz w:val="20"/>
                <w:szCs w:val="20"/>
              </w:rPr>
            </w:pPr>
            <w:r w:rsidRPr="00070EC9">
              <w:rPr>
                <w:b/>
                <w:sz w:val="20"/>
                <w:szCs w:val="20"/>
              </w:rPr>
              <w:t>759</w:t>
            </w:r>
          </w:p>
        </w:tc>
        <w:tc>
          <w:tcPr>
            <w:tcW w:w="70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jc w:val="right"/>
              <w:rPr>
                <w:b/>
                <w:sz w:val="20"/>
                <w:szCs w:val="20"/>
              </w:rPr>
            </w:pPr>
            <w:r w:rsidRPr="00070EC9">
              <w:rPr>
                <w:b/>
                <w:sz w:val="20"/>
                <w:szCs w:val="20"/>
              </w:rPr>
              <w:t>117</w:t>
            </w:r>
          </w:p>
        </w:tc>
        <w:tc>
          <w:tcPr>
            <w:tcW w:w="705"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jc w:val="right"/>
              <w:rPr>
                <w:b/>
                <w:sz w:val="20"/>
                <w:szCs w:val="20"/>
              </w:rPr>
            </w:pPr>
            <w:r w:rsidRPr="00070EC9">
              <w:rPr>
                <w:b/>
                <w:sz w:val="20"/>
                <w:szCs w:val="20"/>
              </w:rPr>
              <w:t>0</w:t>
            </w:r>
          </w:p>
        </w:tc>
        <w:tc>
          <w:tcPr>
            <w:tcW w:w="704" w:type="pct"/>
            <w:tcBorders>
              <w:top w:val="single" w:sz="4" w:space="0" w:color="auto"/>
              <w:left w:val="single" w:sz="4" w:space="0" w:color="auto"/>
              <w:bottom w:val="single" w:sz="4" w:space="0" w:color="auto"/>
              <w:right w:val="single" w:sz="4" w:space="0" w:color="auto"/>
            </w:tcBorders>
            <w:hideMark/>
          </w:tcPr>
          <w:p w:rsidR="00807719" w:rsidRPr="00070EC9" w:rsidRDefault="00807719">
            <w:pPr>
              <w:spacing w:after="0" w:line="240" w:lineRule="auto"/>
              <w:jc w:val="right"/>
              <w:rPr>
                <w:b/>
                <w:sz w:val="20"/>
                <w:szCs w:val="20"/>
              </w:rPr>
            </w:pPr>
            <w:r w:rsidRPr="00070EC9">
              <w:rPr>
                <w:b/>
                <w:sz w:val="20"/>
                <w:szCs w:val="20"/>
              </w:rPr>
              <w:t>0</w:t>
            </w:r>
          </w:p>
        </w:tc>
        <w:tc>
          <w:tcPr>
            <w:tcW w:w="714" w:type="pct"/>
            <w:tcBorders>
              <w:top w:val="single" w:sz="4" w:space="0" w:color="auto"/>
              <w:left w:val="single" w:sz="4" w:space="0" w:color="auto"/>
              <w:bottom w:val="single" w:sz="4" w:space="0" w:color="auto"/>
              <w:right w:val="single" w:sz="4" w:space="0" w:color="auto"/>
            </w:tcBorders>
            <w:hideMark/>
          </w:tcPr>
          <w:p w:rsidR="00807719" w:rsidRDefault="00807719">
            <w:pPr>
              <w:spacing w:after="0" w:line="240" w:lineRule="auto"/>
              <w:jc w:val="right"/>
              <w:rPr>
                <w:b/>
                <w:sz w:val="20"/>
                <w:szCs w:val="20"/>
              </w:rPr>
            </w:pPr>
            <w:r w:rsidRPr="00070EC9">
              <w:rPr>
                <w:b/>
                <w:sz w:val="20"/>
                <w:szCs w:val="20"/>
              </w:rPr>
              <w:t>0</w:t>
            </w:r>
          </w:p>
        </w:tc>
      </w:tr>
    </w:tbl>
    <w:p w:rsidR="00807719" w:rsidRDefault="00807719" w:rsidP="00807719">
      <w:pPr>
        <w:autoSpaceDE w:val="0"/>
        <w:autoSpaceDN w:val="0"/>
        <w:adjustRightInd w:val="0"/>
        <w:spacing w:after="0" w:line="240" w:lineRule="auto"/>
        <w:rPr>
          <w:rFonts w:cs="Foundry Sans"/>
        </w:rPr>
      </w:pPr>
    </w:p>
    <w:p w:rsidR="00807719" w:rsidRDefault="00807719" w:rsidP="00807719">
      <w:pPr>
        <w:autoSpaceDE w:val="0"/>
        <w:autoSpaceDN w:val="0"/>
        <w:adjustRightInd w:val="0"/>
        <w:spacing w:after="0" w:line="240" w:lineRule="auto"/>
        <w:rPr>
          <w:rFonts w:cs="Foundry Sans"/>
        </w:rPr>
      </w:pPr>
    </w:p>
    <w:p w:rsidR="00E46FBF" w:rsidRDefault="00E46FBF" w:rsidP="000E2E68">
      <w:pPr>
        <w:pStyle w:val="NumbList"/>
        <w:contextualSpacing/>
        <w:rPr>
          <w:b/>
        </w:rPr>
      </w:pPr>
      <w:r w:rsidRPr="00E46FBF">
        <w:rPr>
          <w:b/>
        </w:rPr>
        <w:t>Debtors</w:t>
      </w:r>
    </w:p>
    <w:p w:rsidR="00226713" w:rsidRDefault="00E46FBF" w:rsidP="000E2E68">
      <w:pPr>
        <w:pStyle w:val="NumbList"/>
        <w:numPr>
          <w:ilvl w:val="0"/>
          <w:numId w:val="72"/>
        </w:numPr>
        <w:spacing w:after="0" w:line="0" w:lineRule="atLeast"/>
        <w:ind w:left="426" w:hanging="426"/>
        <w:contextualSpacing/>
      </w:pPr>
      <w:r w:rsidRPr="00E46FBF">
        <w:t>An analysis of debtors relating to Shut in Lift</w:t>
      </w:r>
      <w:r w:rsidR="009E70A4">
        <w:t xml:space="preserve"> charges</w:t>
      </w:r>
      <w:r w:rsidRPr="00E46FBF">
        <w:t xml:space="preserve"> is provided in Appendix 5. This includes a chart that shows the continued decrease in the amount of Shut in Lift debts outstanding ov</w:t>
      </w:r>
      <w:r w:rsidR="00226713">
        <w:t>er the past 18 months, with £88</w:t>
      </w:r>
      <w:r w:rsidRPr="00E46FBF">
        <w:t>k outsta</w:t>
      </w:r>
      <w:r w:rsidR="00226713">
        <w:t xml:space="preserve">nding at the end of March </w:t>
      </w:r>
      <w:r w:rsidRPr="00E46FBF">
        <w:t>201</w:t>
      </w:r>
      <w:r w:rsidR="00226713">
        <w:t xml:space="preserve">8. </w:t>
      </w:r>
      <w:r w:rsidRPr="00E46FBF">
        <w:t xml:space="preserve">The continued joint effort by Authority staff has resulted in the positive progress made to date </w:t>
      </w:r>
      <w:r w:rsidR="009E70A4">
        <w:t>in recovering these</w:t>
      </w:r>
      <w:r w:rsidRPr="00E46FBF">
        <w:t xml:space="preserve"> debts. </w:t>
      </w:r>
    </w:p>
    <w:p w:rsidR="00863FFD" w:rsidRDefault="00863FFD" w:rsidP="000E2E68">
      <w:pPr>
        <w:pStyle w:val="NumbList"/>
        <w:spacing w:after="0" w:line="0" w:lineRule="atLeast"/>
        <w:ind w:left="426"/>
        <w:contextualSpacing/>
      </w:pPr>
    </w:p>
    <w:p w:rsidR="00863FFD" w:rsidRPr="00FE6658" w:rsidRDefault="00863FFD" w:rsidP="00FE6658">
      <w:pPr>
        <w:pStyle w:val="NumbList"/>
        <w:spacing w:after="0" w:line="0" w:lineRule="atLeast"/>
        <w:contextualSpacing/>
        <w:rPr>
          <w:b/>
        </w:rPr>
      </w:pPr>
      <w:r w:rsidRPr="00FE6658">
        <w:rPr>
          <w:b/>
        </w:rPr>
        <w:t>Finance comments</w:t>
      </w:r>
    </w:p>
    <w:p w:rsidR="00BD0EEB" w:rsidRDefault="00BD0EEB" w:rsidP="000E2E68">
      <w:pPr>
        <w:pStyle w:val="NumbList"/>
        <w:numPr>
          <w:ilvl w:val="0"/>
          <w:numId w:val="72"/>
        </w:numPr>
        <w:spacing w:after="0" w:line="0" w:lineRule="atLeast"/>
        <w:ind w:left="426" w:hanging="426"/>
        <w:contextualSpacing/>
      </w:pPr>
      <w:r w:rsidRPr="00A807C2">
        <w:t xml:space="preserve">This report is presented by the </w:t>
      </w:r>
      <w:r w:rsidR="009C6C8B">
        <w:t>Assistant Director - Finance</w:t>
      </w:r>
      <w:r w:rsidRPr="00A807C2">
        <w:t xml:space="preserve"> and there are no further comments</w:t>
      </w:r>
      <w:r>
        <w:t>.</w:t>
      </w:r>
    </w:p>
    <w:p w:rsidR="009D2164" w:rsidRDefault="009D2164" w:rsidP="00FE6658">
      <w:pPr>
        <w:pStyle w:val="NumbList"/>
        <w:spacing w:after="0" w:line="0" w:lineRule="atLeast"/>
        <w:ind w:left="426"/>
        <w:contextualSpacing/>
      </w:pPr>
    </w:p>
    <w:p w:rsidR="00BD0EEB" w:rsidRPr="00415D98" w:rsidRDefault="00BD0EEB" w:rsidP="00BD0EEB">
      <w:pPr>
        <w:pStyle w:val="Heading"/>
        <w:rPr>
          <w:rFonts w:ascii="FoundrySansDemi" w:hAnsi="FoundrySansDemi"/>
          <w:b w:val="0"/>
          <w:sz w:val="24"/>
        </w:rPr>
      </w:pPr>
      <w:r w:rsidRPr="003661E7">
        <w:rPr>
          <w:rFonts w:ascii="FoundrySansDemi" w:hAnsi="FoundrySansDemi"/>
          <w:b w:val="0"/>
          <w:sz w:val="24"/>
        </w:rPr>
        <w:t>Workforce comments</w:t>
      </w:r>
    </w:p>
    <w:p w:rsidR="00BD0EEB" w:rsidRDefault="00BD0EEB" w:rsidP="000E2E68">
      <w:pPr>
        <w:pStyle w:val="NumbList"/>
        <w:numPr>
          <w:ilvl w:val="0"/>
          <w:numId w:val="72"/>
        </w:numPr>
        <w:spacing w:after="0" w:line="0" w:lineRule="atLeast"/>
        <w:ind w:left="426" w:hanging="426"/>
        <w:contextualSpacing/>
      </w:pPr>
      <w:r w:rsidRPr="008840B2">
        <w:t>No staff-side consultations have been undertaken on this report.</w:t>
      </w:r>
    </w:p>
    <w:p w:rsidR="009D2164" w:rsidRPr="008840B2" w:rsidRDefault="009D2164" w:rsidP="00FE6658">
      <w:pPr>
        <w:pStyle w:val="NumbList"/>
        <w:spacing w:after="0" w:line="0" w:lineRule="atLeast"/>
        <w:ind w:left="426"/>
        <w:contextualSpacing/>
      </w:pPr>
    </w:p>
    <w:p w:rsidR="00540A8A" w:rsidRPr="00754EE1" w:rsidRDefault="00E15B0D" w:rsidP="009D74A1">
      <w:pPr>
        <w:pStyle w:val="Heading"/>
        <w:rPr>
          <w:rFonts w:ascii="FoundrySansDemi" w:hAnsi="FoundrySansDemi"/>
          <w:b w:val="0"/>
          <w:sz w:val="24"/>
        </w:rPr>
      </w:pPr>
      <w:r w:rsidRPr="00754EE1">
        <w:rPr>
          <w:rFonts w:ascii="FoundrySansDemi" w:hAnsi="FoundrySansDemi"/>
          <w:b w:val="0"/>
          <w:sz w:val="24"/>
        </w:rPr>
        <w:t>Legal c</w:t>
      </w:r>
      <w:r w:rsidR="00540A8A" w:rsidRPr="00754EE1">
        <w:rPr>
          <w:rFonts w:ascii="FoundrySansDemi" w:hAnsi="FoundrySansDemi"/>
          <w:b w:val="0"/>
          <w:sz w:val="24"/>
        </w:rPr>
        <w:t>omments</w:t>
      </w:r>
    </w:p>
    <w:p w:rsidR="00540A8A" w:rsidRDefault="003661E7" w:rsidP="000E2E68">
      <w:pPr>
        <w:pStyle w:val="NumbList"/>
        <w:numPr>
          <w:ilvl w:val="0"/>
          <w:numId w:val="72"/>
        </w:numPr>
        <w:spacing w:after="0" w:line="0" w:lineRule="atLeast"/>
        <w:ind w:left="426" w:hanging="426"/>
        <w:contextualSpacing/>
      </w:pPr>
      <w:r w:rsidRPr="00FE6658">
        <w:t>General Counsel</w:t>
      </w:r>
      <w:r w:rsidR="00DF4E93" w:rsidRPr="00FE6658">
        <w:t xml:space="preserve"> has reviewed this report and has no comments</w:t>
      </w:r>
      <w:r w:rsidR="000C0FAA" w:rsidRPr="00FE6658">
        <w:t>.</w:t>
      </w:r>
    </w:p>
    <w:p w:rsidR="00661BE7" w:rsidRPr="00FE6658" w:rsidRDefault="00661BE7" w:rsidP="00FE6658">
      <w:pPr>
        <w:pStyle w:val="NumbList"/>
        <w:spacing w:after="0" w:line="0" w:lineRule="atLeast"/>
        <w:ind w:left="426"/>
        <w:contextualSpacing/>
      </w:pPr>
    </w:p>
    <w:p w:rsidR="005913BC" w:rsidRPr="00415D98" w:rsidRDefault="003F2D88" w:rsidP="005913BC">
      <w:pPr>
        <w:pStyle w:val="Heading"/>
      </w:pPr>
      <w:r w:rsidRPr="00415D98">
        <w:rPr>
          <w:rFonts w:ascii="FoundrySansDemi" w:hAnsi="FoundrySansDemi"/>
          <w:b w:val="0"/>
          <w:sz w:val="24"/>
        </w:rPr>
        <w:t>Sustainable</w:t>
      </w:r>
      <w:r w:rsidR="003661E7">
        <w:rPr>
          <w:rFonts w:ascii="FoundrySansDemi" w:hAnsi="FoundrySansDemi"/>
          <w:b w:val="0"/>
          <w:sz w:val="24"/>
        </w:rPr>
        <w:t xml:space="preserve"> </w:t>
      </w:r>
      <w:r w:rsidR="000C0FAA" w:rsidRPr="00415D98">
        <w:rPr>
          <w:rFonts w:ascii="FoundrySansDemi" w:hAnsi="FoundrySansDemi"/>
          <w:b w:val="0"/>
          <w:sz w:val="24"/>
        </w:rPr>
        <w:t>implications</w:t>
      </w:r>
    </w:p>
    <w:p w:rsidR="000C0FAA" w:rsidRDefault="005913BC" w:rsidP="000E2E68">
      <w:pPr>
        <w:pStyle w:val="NumbList"/>
        <w:numPr>
          <w:ilvl w:val="0"/>
          <w:numId w:val="72"/>
        </w:numPr>
        <w:spacing w:after="0" w:line="0" w:lineRule="atLeast"/>
        <w:ind w:left="426" w:hanging="426"/>
        <w:contextualSpacing/>
      </w:pPr>
      <w:r w:rsidRPr="008840B2">
        <w:t>There are no direct sustainable implications.</w:t>
      </w:r>
    </w:p>
    <w:p w:rsidR="009D2164" w:rsidRPr="008840B2" w:rsidRDefault="009D2164" w:rsidP="00FE6658">
      <w:pPr>
        <w:pStyle w:val="NumbList"/>
        <w:spacing w:after="0" w:line="0" w:lineRule="atLeast"/>
        <w:ind w:left="426"/>
        <w:contextualSpacing/>
      </w:pPr>
    </w:p>
    <w:p w:rsidR="000C0FAA" w:rsidRPr="00415D98" w:rsidRDefault="000C0FAA" w:rsidP="000C0FAA">
      <w:pPr>
        <w:pStyle w:val="Heading"/>
        <w:rPr>
          <w:rFonts w:ascii="FoundrySansDemi" w:hAnsi="FoundrySansDemi"/>
          <w:b w:val="0"/>
          <w:sz w:val="24"/>
        </w:rPr>
      </w:pPr>
      <w:r w:rsidRPr="00415D98">
        <w:rPr>
          <w:rFonts w:ascii="FoundrySansDemi" w:hAnsi="FoundrySansDemi"/>
          <w:b w:val="0"/>
          <w:sz w:val="24"/>
        </w:rPr>
        <w:t>Equalities implications</w:t>
      </w:r>
    </w:p>
    <w:p w:rsidR="00FE6658" w:rsidRDefault="00E61033" w:rsidP="000E2E68">
      <w:pPr>
        <w:pStyle w:val="NumbList"/>
        <w:numPr>
          <w:ilvl w:val="0"/>
          <w:numId w:val="72"/>
        </w:numPr>
        <w:spacing w:after="0" w:line="0" w:lineRule="atLeast"/>
        <w:ind w:left="426" w:hanging="426"/>
        <w:contextualSpacing/>
      </w:pPr>
      <w:r w:rsidRPr="008840B2">
        <w:t>This report has no equality implications.</w:t>
      </w:r>
    </w:p>
    <w:p w:rsidR="00540A8A" w:rsidRDefault="00E61033" w:rsidP="00FE6658">
      <w:pPr>
        <w:pStyle w:val="NumbList"/>
        <w:spacing w:after="0" w:line="0" w:lineRule="atLeast"/>
        <w:ind w:left="426"/>
        <w:contextualSpacing/>
      </w:pPr>
      <w:r w:rsidRPr="008840B2">
        <w:t xml:space="preserve"> </w:t>
      </w:r>
    </w:p>
    <w:p w:rsidR="008F25D4" w:rsidRPr="00052AD5" w:rsidRDefault="008F25D4" w:rsidP="008F25D4">
      <w:pPr>
        <w:pStyle w:val="Heading"/>
      </w:pPr>
      <w:r w:rsidRPr="00052AD5">
        <w:t>List of Appendices to this report:</w:t>
      </w:r>
    </w:p>
    <w:p w:rsidR="008F25D4" w:rsidRDefault="008F25D4" w:rsidP="00CF25FC">
      <w:pPr>
        <w:pStyle w:val="NumbList"/>
        <w:numPr>
          <w:ilvl w:val="0"/>
          <w:numId w:val="50"/>
        </w:numPr>
        <w:spacing w:after="0"/>
      </w:pPr>
      <w:r>
        <w:t>Summary Financial Position</w:t>
      </w:r>
    </w:p>
    <w:p w:rsidR="008F25D4" w:rsidRDefault="008F25D4" w:rsidP="00CF25FC">
      <w:pPr>
        <w:pStyle w:val="NumbList"/>
        <w:numPr>
          <w:ilvl w:val="0"/>
          <w:numId w:val="50"/>
        </w:numPr>
        <w:spacing w:after="0"/>
      </w:pPr>
      <w:r w:rsidRPr="00052AD5">
        <w:t xml:space="preserve">Detailed </w:t>
      </w:r>
      <w:r w:rsidR="001C386C">
        <w:t>Financial Position</w:t>
      </w:r>
    </w:p>
    <w:p w:rsidR="008F6514" w:rsidRDefault="008F6514" w:rsidP="00CF25FC">
      <w:pPr>
        <w:pStyle w:val="NumbList"/>
        <w:numPr>
          <w:ilvl w:val="0"/>
          <w:numId w:val="50"/>
        </w:numPr>
        <w:spacing w:after="0"/>
      </w:pPr>
      <w:r>
        <w:t xml:space="preserve">Capital Programme </w:t>
      </w:r>
    </w:p>
    <w:p w:rsidR="008F6514" w:rsidRDefault="008F6514" w:rsidP="00CF25FC">
      <w:pPr>
        <w:pStyle w:val="NumbList"/>
        <w:numPr>
          <w:ilvl w:val="0"/>
          <w:numId w:val="50"/>
        </w:numPr>
        <w:spacing w:after="0"/>
      </w:pPr>
      <w:r>
        <w:t>Risks to the Revenue and Capital Position</w:t>
      </w:r>
    </w:p>
    <w:p w:rsidR="008F6514" w:rsidRDefault="008F6514" w:rsidP="00CF25FC">
      <w:pPr>
        <w:pStyle w:val="NumbList"/>
        <w:numPr>
          <w:ilvl w:val="0"/>
          <w:numId w:val="50"/>
        </w:numPr>
        <w:spacing w:after="0"/>
      </w:pPr>
      <w:r>
        <w:t>Outstanding Lift debtors</w:t>
      </w:r>
    </w:p>
    <w:p w:rsidR="007510E5" w:rsidRDefault="008F6514" w:rsidP="000E2E68">
      <w:pPr>
        <w:pStyle w:val="ListParagraph"/>
        <w:numPr>
          <w:ilvl w:val="0"/>
          <w:numId w:val="50"/>
        </w:numPr>
      </w:pPr>
      <w:r w:rsidRPr="008F6514">
        <w:t>Financial Regulation 9: Budget Virements</w:t>
      </w:r>
    </w:p>
    <w:p w:rsidR="008F6514" w:rsidRDefault="007510E5" w:rsidP="000E2E68">
      <w:pPr>
        <w:pStyle w:val="ListParagraph"/>
        <w:numPr>
          <w:ilvl w:val="0"/>
          <w:numId w:val="50"/>
        </w:numPr>
      </w:pPr>
      <w:r>
        <w:t>Financial Element on Performance</w:t>
      </w:r>
    </w:p>
    <w:p w:rsidR="00BD0EEB" w:rsidRDefault="00BD0EEB" w:rsidP="000E2E68">
      <w:pPr>
        <w:pStyle w:val="ListParagraph"/>
        <w:ind w:left="700"/>
      </w:pPr>
    </w:p>
    <w:p w:rsidR="00BD0EEB" w:rsidRPr="00754EE1" w:rsidRDefault="00BD0EEB" w:rsidP="00BD0EEB">
      <w:pPr>
        <w:pStyle w:val="Heading"/>
        <w:rPr>
          <w:rFonts w:ascii="FoundrySansDemi" w:hAnsi="FoundrySansDemi"/>
          <w:b w:val="0"/>
          <w:sz w:val="24"/>
        </w:rPr>
      </w:pPr>
      <w:r w:rsidRPr="00754EE1">
        <w:rPr>
          <w:rFonts w:ascii="FoundrySansDemi" w:hAnsi="FoundrySansDemi"/>
          <w:b w:val="0"/>
          <w:sz w:val="24"/>
        </w:rPr>
        <w:t>Consultation</w:t>
      </w:r>
    </w:p>
    <w:tbl>
      <w:tblPr>
        <w:tblStyle w:val="TableGrid"/>
        <w:tblW w:w="9639" w:type="dxa"/>
        <w:tblInd w:w="113" w:type="dxa"/>
        <w:tblLook w:val="01E0" w:firstRow="1" w:lastRow="1" w:firstColumn="1" w:lastColumn="1" w:noHBand="0" w:noVBand="0"/>
      </w:tblPr>
      <w:tblGrid>
        <w:gridCol w:w="5670"/>
        <w:gridCol w:w="3969"/>
      </w:tblGrid>
      <w:tr w:rsidR="00BD0EEB" w:rsidRPr="000632F7" w:rsidTr="00BD0EEB">
        <w:trPr>
          <w:tblHeader/>
        </w:trPr>
        <w:tc>
          <w:tcPr>
            <w:tcW w:w="5670" w:type="dxa"/>
          </w:tcPr>
          <w:p w:rsidR="00BD0EEB" w:rsidRPr="000632F7" w:rsidRDefault="00BD0EEB" w:rsidP="00BD0EEB">
            <w:pPr>
              <w:pStyle w:val="NormalNoSpace"/>
              <w:keepNext/>
              <w:spacing w:before="60" w:after="60" w:line="240" w:lineRule="auto"/>
              <w:rPr>
                <w:b/>
              </w:rPr>
            </w:pPr>
            <w:r w:rsidRPr="00754EE1">
              <w:rPr>
                <w:rFonts w:ascii="FoundrySansDemi" w:hAnsi="FoundrySansDemi"/>
              </w:rPr>
              <w:t>Name/role</w:t>
            </w:r>
          </w:p>
        </w:tc>
        <w:tc>
          <w:tcPr>
            <w:tcW w:w="3969" w:type="dxa"/>
          </w:tcPr>
          <w:p w:rsidR="00BD0EEB" w:rsidRPr="000632F7" w:rsidRDefault="00BD0EEB" w:rsidP="00BD0EEB">
            <w:pPr>
              <w:pStyle w:val="NormalNoSpace"/>
              <w:keepNext/>
              <w:spacing w:before="60" w:after="60" w:line="240" w:lineRule="auto"/>
              <w:rPr>
                <w:b/>
              </w:rPr>
            </w:pPr>
            <w:r w:rsidRPr="00754EE1">
              <w:rPr>
                <w:rFonts w:ascii="FoundrySansDemi" w:hAnsi="FoundrySansDemi"/>
              </w:rPr>
              <w:t>Method consulted</w:t>
            </w:r>
          </w:p>
        </w:tc>
      </w:tr>
      <w:tr w:rsidR="00BD0EEB" w:rsidTr="00BD0EEB">
        <w:tc>
          <w:tcPr>
            <w:tcW w:w="5670" w:type="dxa"/>
          </w:tcPr>
          <w:p w:rsidR="00BD0EEB" w:rsidRPr="00F53554" w:rsidRDefault="00BD0EEB" w:rsidP="00BD0EEB">
            <w:r w:rsidRPr="00F53554">
              <w:t>Heads of Department</w:t>
            </w:r>
          </w:p>
        </w:tc>
        <w:tc>
          <w:tcPr>
            <w:tcW w:w="3969" w:type="dxa"/>
          </w:tcPr>
          <w:p w:rsidR="00BD0EEB" w:rsidRDefault="002B7133" w:rsidP="002B7133">
            <w:r>
              <w:t xml:space="preserve">Departmental finance </w:t>
            </w:r>
            <w:r w:rsidR="00BD0EEB" w:rsidRPr="00F53554">
              <w:t>returns</w:t>
            </w:r>
          </w:p>
        </w:tc>
      </w:tr>
    </w:tbl>
    <w:p w:rsidR="00BD0EEB" w:rsidRDefault="00BD0EEB" w:rsidP="000632F7">
      <w:pPr>
        <w:sectPr w:rsidR="00BD0EEB" w:rsidSect="00B317DC">
          <w:footerReference w:type="default" r:id="rId16"/>
          <w:headerReference w:type="first" r:id="rId17"/>
          <w:footerReference w:type="first" r:id="rId18"/>
          <w:pgSz w:w="11907" w:h="16840" w:code="9"/>
          <w:pgMar w:top="1361" w:right="1134" w:bottom="1361" w:left="1134" w:header="709" w:footer="476" w:gutter="0"/>
          <w:cols w:space="708"/>
          <w:titlePg/>
          <w:docGrid w:linePitch="360"/>
        </w:sectPr>
      </w:pPr>
    </w:p>
    <w:tbl>
      <w:tblPr>
        <w:tblW w:w="5000" w:type="pct"/>
        <w:tblLook w:val="04A0" w:firstRow="1" w:lastRow="0" w:firstColumn="1" w:lastColumn="0" w:noHBand="0" w:noVBand="1"/>
      </w:tblPr>
      <w:tblGrid>
        <w:gridCol w:w="2706"/>
        <w:gridCol w:w="1429"/>
        <w:gridCol w:w="1431"/>
        <w:gridCol w:w="1431"/>
        <w:gridCol w:w="1431"/>
        <w:gridCol w:w="1427"/>
      </w:tblGrid>
      <w:tr w:rsidR="0022033A" w:rsidRPr="00682606" w:rsidTr="000E2E68">
        <w:trPr>
          <w:trHeight w:val="1020"/>
        </w:trPr>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033A" w:rsidRPr="00682606" w:rsidRDefault="0022033A" w:rsidP="00337FA0">
            <w:pPr>
              <w:spacing w:before="40" w:after="40" w:line="240" w:lineRule="auto"/>
              <w:rPr>
                <w:sz w:val="20"/>
                <w:szCs w:val="20"/>
              </w:rPr>
            </w:pPr>
            <w:r w:rsidRPr="00682606">
              <w:rPr>
                <w:sz w:val="20"/>
                <w:szCs w:val="20"/>
              </w:rPr>
              <w:t> </w:t>
            </w:r>
          </w:p>
        </w:tc>
        <w:tc>
          <w:tcPr>
            <w:tcW w:w="725" w:type="pct"/>
            <w:tcBorders>
              <w:top w:val="single" w:sz="4" w:space="0" w:color="auto"/>
              <w:left w:val="nil"/>
              <w:bottom w:val="single" w:sz="4" w:space="0" w:color="auto"/>
              <w:right w:val="single" w:sz="4" w:space="0" w:color="auto"/>
            </w:tcBorders>
            <w:shd w:val="clear" w:color="auto" w:fill="auto"/>
            <w:vAlign w:val="center"/>
            <w:hideMark/>
          </w:tcPr>
          <w:p w:rsidR="0022033A" w:rsidRPr="00682606" w:rsidRDefault="0022033A" w:rsidP="00337FA0">
            <w:pPr>
              <w:spacing w:before="40" w:after="40" w:line="240" w:lineRule="auto"/>
              <w:jc w:val="center"/>
              <w:rPr>
                <w:b/>
                <w:bCs/>
                <w:sz w:val="20"/>
                <w:szCs w:val="20"/>
              </w:rPr>
            </w:pPr>
            <w:r w:rsidRPr="00682606">
              <w:rPr>
                <w:b/>
                <w:bCs/>
                <w:sz w:val="20"/>
                <w:szCs w:val="20"/>
              </w:rPr>
              <w:t>Revised Budget</w:t>
            </w:r>
          </w:p>
        </w:tc>
        <w:tc>
          <w:tcPr>
            <w:tcW w:w="726" w:type="pct"/>
            <w:tcBorders>
              <w:top w:val="single" w:sz="4" w:space="0" w:color="auto"/>
              <w:left w:val="nil"/>
              <w:bottom w:val="single" w:sz="4" w:space="0" w:color="auto"/>
              <w:right w:val="single" w:sz="4" w:space="0" w:color="auto"/>
            </w:tcBorders>
            <w:shd w:val="clear" w:color="auto" w:fill="auto"/>
            <w:vAlign w:val="center"/>
            <w:hideMark/>
          </w:tcPr>
          <w:p w:rsidR="009D2AFA" w:rsidRDefault="009D2AFA" w:rsidP="00337FA0">
            <w:pPr>
              <w:spacing w:before="40" w:after="40" w:line="240" w:lineRule="auto"/>
              <w:jc w:val="center"/>
              <w:rPr>
                <w:b/>
                <w:bCs/>
                <w:sz w:val="20"/>
                <w:szCs w:val="20"/>
              </w:rPr>
            </w:pPr>
            <w:r>
              <w:rPr>
                <w:b/>
                <w:bCs/>
                <w:sz w:val="20"/>
                <w:szCs w:val="20"/>
              </w:rPr>
              <w:t>Provisional</w:t>
            </w:r>
          </w:p>
          <w:p w:rsidR="0022033A" w:rsidRPr="00682606" w:rsidRDefault="0022033A" w:rsidP="00337FA0">
            <w:pPr>
              <w:spacing w:before="40" w:after="40" w:line="240" w:lineRule="auto"/>
              <w:jc w:val="center"/>
              <w:rPr>
                <w:b/>
                <w:bCs/>
                <w:sz w:val="20"/>
                <w:szCs w:val="20"/>
              </w:rPr>
            </w:pPr>
            <w:r w:rsidRPr="00682606">
              <w:rPr>
                <w:b/>
                <w:bCs/>
                <w:sz w:val="20"/>
                <w:szCs w:val="20"/>
              </w:rPr>
              <w:t>Outturn</w:t>
            </w:r>
          </w:p>
        </w:tc>
        <w:tc>
          <w:tcPr>
            <w:tcW w:w="726" w:type="pct"/>
            <w:tcBorders>
              <w:top w:val="single" w:sz="4" w:space="0" w:color="auto"/>
              <w:left w:val="nil"/>
              <w:bottom w:val="single" w:sz="4" w:space="0" w:color="auto"/>
              <w:right w:val="single" w:sz="4" w:space="0" w:color="auto"/>
            </w:tcBorders>
            <w:shd w:val="clear" w:color="auto" w:fill="auto"/>
            <w:vAlign w:val="center"/>
            <w:hideMark/>
          </w:tcPr>
          <w:p w:rsidR="009D2AFA" w:rsidRDefault="009D2AFA" w:rsidP="00337FA0">
            <w:pPr>
              <w:spacing w:before="40" w:after="40" w:line="240" w:lineRule="auto"/>
              <w:jc w:val="center"/>
              <w:rPr>
                <w:b/>
                <w:bCs/>
                <w:sz w:val="20"/>
                <w:szCs w:val="20"/>
              </w:rPr>
            </w:pPr>
            <w:r>
              <w:rPr>
                <w:b/>
                <w:bCs/>
                <w:sz w:val="20"/>
                <w:szCs w:val="20"/>
              </w:rPr>
              <w:t>Provisional</w:t>
            </w:r>
          </w:p>
          <w:p w:rsidR="0022033A" w:rsidRPr="00682606" w:rsidRDefault="0022033A" w:rsidP="00337FA0">
            <w:pPr>
              <w:spacing w:before="40" w:after="40" w:line="240" w:lineRule="auto"/>
              <w:jc w:val="center"/>
              <w:rPr>
                <w:b/>
                <w:bCs/>
                <w:sz w:val="20"/>
                <w:szCs w:val="20"/>
              </w:rPr>
            </w:pPr>
            <w:r w:rsidRPr="00682606">
              <w:rPr>
                <w:b/>
                <w:bCs/>
                <w:sz w:val="20"/>
                <w:szCs w:val="20"/>
              </w:rPr>
              <w:t>Outturn Variance</w:t>
            </w:r>
          </w:p>
        </w:tc>
        <w:tc>
          <w:tcPr>
            <w:tcW w:w="726" w:type="pct"/>
            <w:tcBorders>
              <w:top w:val="single" w:sz="4" w:space="0" w:color="auto"/>
              <w:left w:val="nil"/>
              <w:bottom w:val="nil"/>
              <w:right w:val="single" w:sz="4" w:space="0" w:color="auto"/>
            </w:tcBorders>
            <w:shd w:val="clear" w:color="auto" w:fill="auto"/>
            <w:vAlign w:val="center"/>
            <w:hideMark/>
          </w:tcPr>
          <w:p w:rsidR="0022033A" w:rsidRPr="00682606" w:rsidRDefault="0022033A" w:rsidP="00337FA0">
            <w:pPr>
              <w:spacing w:before="40" w:after="40" w:line="240" w:lineRule="auto"/>
              <w:jc w:val="center"/>
              <w:rPr>
                <w:b/>
                <w:bCs/>
                <w:sz w:val="20"/>
                <w:szCs w:val="20"/>
              </w:rPr>
            </w:pPr>
            <w:r w:rsidRPr="00682606">
              <w:rPr>
                <w:b/>
                <w:bCs/>
                <w:sz w:val="20"/>
                <w:szCs w:val="20"/>
              </w:rPr>
              <w:t>Previous Forecast Outturn Variance</w:t>
            </w:r>
          </w:p>
        </w:tc>
        <w:tc>
          <w:tcPr>
            <w:tcW w:w="724" w:type="pct"/>
            <w:tcBorders>
              <w:top w:val="single" w:sz="4" w:space="0" w:color="auto"/>
              <w:left w:val="nil"/>
              <w:bottom w:val="nil"/>
              <w:right w:val="single" w:sz="4" w:space="0" w:color="auto"/>
            </w:tcBorders>
            <w:shd w:val="clear" w:color="auto" w:fill="auto"/>
            <w:vAlign w:val="center"/>
            <w:hideMark/>
          </w:tcPr>
          <w:p w:rsidR="0022033A" w:rsidRPr="00682606" w:rsidRDefault="0022033A" w:rsidP="00337FA0">
            <w:pPr>
              <w:spacing w:before="40" w:after="40" w:line="240" w:lineRule="auto"/>
              <w:jc w:val="center"/>
              <w:rPr>
                <w:b/>
                <w:bCs/>
                <w:sz w:val="20"/>
                <w:szCs w:val="20"/>
              </w:rPr>
            </w:pPr>
            <w:r w:rsidRPr="00682606">
              <w:rPr>
                <w:b/>
                <w:bCs/>
                <w:sz w:val="20"/>
                <w:szCs w:val="20"/>
              </w:rPr>
              <w:t>Movement between variance figures</w:t>
            </w:r>
          </w:p>
        </w:tc>
      </w:tr>
      <w:tr w:rsidR="0022033A"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2033A" w:rsidRPr="00682606" w:rsidRDefault="0022033A" w:rsidP="00337FA0">
            <w:pPr>
              <w:spacing w:before="40" w:after="40" w:line="240" w:lineRule="auto"/>
              <w:rPr>
                <w:sz w:val="20"/>
                <w:szCs w:val="20"/>
              </w:rPr>
            </w:pPr>
            <w:r w:rsidRPr="00682606">
              <w:rPr>
                <w:sz w:val="20"/>
                <w:szCs w:val="20"/>
              </w:rPr>
              <w:t> </w:t>
            </w:r>
          </w:p>
        </w:tc>
        <w:tc>
          <w:tcPr>
            <w:tcW w:w="725" w:type="pct"/>
            <w:tcBorders>
              <w:top w:val="nil"/>
              <w:left w:val="nil"/>
              <w:bottom w:val="single" w:sz="4" w:space="0" w:color="auto"/>
              <w:right w:val="single" w:sz="4" w:space="0" w:color="auto"/>
            </w:tcBorders>
            <w:shd w:val="clear" w:color="auto" w:fill="auto"/>
            <w:vAlign w:val="center"/>
            <w:hideMark/>
          </w:tcPr>
          <w:p w:rsidR="0022033A" w:rsidRPr="00682606" w:rsidRDefault="0022033A" w:rsidP="00337FA0">
            <w:pPr>
              <w:spacing w:before="40" w:after="40" w:line="240" w:lineRule="auto"/>
              <w:jc w:val="center"/>
              <w:rPr>
                <w:b/>
                <w:bCs/>
                <w:sz w:val="20"/>
                <w:szCs w:val="20"/>
              </w:rPr>
            </w:pPr>
            <w:r w:rsidRPr="00682606">
              <w:rPr>
                <w:b/>
                <w:bCs/>
                <w:sz w:val="20"/>
                <w:szCs w:val="20"/>
              </w:rPr>
              <w:t>£000s</w:t>
            </w:r>
          </w:p>
        </w:tc>
        <w:tc>
          <w:tcPr>
            <w:tcW w:w="726" w:type="pct"/>
            <w:tcBorders>
              <w:top w:val="nil"/>
              <w:left w:val="nil"/>
              <w:bottom w:val="single" w:sz="4" w:space="0" w:color="auto"/>
              <w:right w:val="single" w:sz="4" w:space="0" w:color="auto"/>
            </w:tcBorders>
            <w:shd w:val="clear" w:color="auto" w:fill="auto"/>
            <w:vAlign w:val="center"/>
            <w:hideMark/>
          </w:tcPr>
          <w:p w:rsidR="0022033A" w:rsidRPr="00682606" w:rsidRDefault="0022033A" w:rsidP="00337FA0">
            <w:pPr>
              <w:spacing w:before="40" w:after="40" w:line="240" w:lineRule="auto"/>
              <w:jc w:val="center"/>
              <w:rPr>
                <w:b/>
                <w:bCs/>
                <w:sz w:val="20"/>
                <w:szCs w:val="20"/>
              </w:rPr>
            </w:pPr>
            <w:r w:rsidRPr="00682606">
              <w:rPr>
                <w:b/>
                <w:bCs/>
                <w:sz w:val="20"/>
                <w:szCs w:val="20"/>
              </w:rPr>
              <w:t>£000s</w:t>
            </w:r>
          </w:p>
        </w:tc>
        <w:tc>
          <w:tcPr>
            <w:tcW w:w="726" w:type="pct"/>
            <w:tcBorders>
              <w:top w:val="nil"/>
              <w:left w:val="nil"/>
              <w:bottom w:val="single" w:sz="4" w:space="0" w:color="auto"/>
              <w:right w:val="single" w:sz="4" w:space="0" w:color="auto"/>
            </w:tcBorders>
            <w:shd w:val="clear" w:color="auto" w:fill="auto"/>
            <w:vAlign w:val="center"/>
            <w:hideMark/>
          </w:tcPr>
          <w:p w:rsidR="0022033A" w:rsidRPr="00682606" w:rsidRDefault="0022033A" w:rsidP="00337FA0">
            <w:pPr>
              <w:spacing w:before="40" w:after="40" w:line="240" w:lineRule="auto"/>
              <w:jc w:val="center"/>
              <w:rPr>
                <w:b/>
                <w:bCs/>
                <w:sz w:val="20"/>
                <w:szCs w:val="20"/>
              </w:rPr>
            </w:pPr>
            <w:r w:rsidRPr="00682606">
              <w:rPr>
                <w:b/>
                <w:bCs/>
                <w:sz w:val="20"/>
                <w:szCs w:val="20"/>
              </w:rPr>
              <w:t>£000s</w:t>
            </w:r>
          </w:p>
        </w:tc>
        <w:tc>
          <w:tcPr>
            <w:tcW w:w="726" w:type="pct"/>
            <w:tcBorders>
              <w:top w:val="single" w:sz="4" w:space="0" w:color="auto"/>
              <w:left w:val="nil"/>
              <w:bottom w:val="single" w:sz="4" w:space="0" w:color="auto"/>
              <w:right w:val="single" w:sz="4" w:space="0" w:color="auto"/>
            </w:tcBorders>
            <w:shd w:val="clear" w:color="auto" w:fill="auto"/>
            <w:vAlign w:val="center"/>
            <w:hideMark/>
          </w:tcPr>
          <w:p w:rsidR="0022033A" w:rsidRPr="00682606" w:rsidRDefault="0022033A" w:rsidP="00337FA0">
            <w:pPr>
              <w:spacing w:before="40" w:after="40" w:line="240" w:lineRule="auto"/>
              <w:jc w:val="center"/>
              <w:rPr>
                <w:b/>
                <w:bCs/>
                <w:sz w:val="20"/>
                <w:szCs w:val="20"/>
              </w:rPr>
            </w:pPr>
            <w:r w:rsidRPr="00682606">
              <w:rPr>
                <w:b/>
                <w:bCs/>
                <w:sz w:val="20"/>
                <w:szCs w:val="20"/>
              </w:rPr>
              <w:t>£000s</w:t>
            </w:r>
          </w:p>
        </w:tc>
        <w:tc>
          <w:tcPr>
            <w:tcW w:w="724" w:type="pct"/>
            <w:tcBorders>
              <w:top w:val="single" w:sz="4" w:space="0" w:color="auto"/>
              <w:left w:val="nil"/>
              <w:bottom w:val="single" w:sz="4" w:space="0" w:color="auto"/>
              <w:right w:val="single" w:sz="4" w:space="0" w:color="auto"/>
            </w:tcBorders>
            <w:shd w:val="clear" w:color="auto" w:fill="auto"/>
            <w:vAlign w:val="center"/>
            <w:hideMark/>
          </w:tcPr>
          <w:p w:rsidR="0022033A" w:rsidRPr="00682606" w:rsidRDefault="0022033A" w:rsidP="00337FA0">
            <w:pPr>
              <w:spacing w:before="40" w:after="40" w:line="240" w:lineRule="auto"/>
              <w:jc w:val="center"/>
              <w:rPr>
                <w:b/>
                <w:bCs/>
                <w:sz w:val="20"/>
                <w:szCs w:val="20"/>
              </w:rPr>
            </w:pPr>
            <w:r w:rsidRPr="00682606">
              <w:rPr>
                <w:b/>
                <w:bCs/>
                <w:sz w:val="20"/>
                <w:szCs w:val="20"/>
              </w:rPr>
              <w:t>£000s</w:t>
            </w:r>
          </w:p>
        </w:tc>
      </w:tr>
      <w:tr w:rsidR="002D4E05" w:rsidRPr="00D644D3"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BA1737" w:rsidRDefault="002D4E05" w:rsidP="00337FA0">
            <w:pPr>
              <w:spacing w:before="40" w:after="40" w:line="240" w:lineRule="auto"/>
              <w:rPr>
                <w:sz w:val="20"/>
                <w:szCs w:val="20"/>
              </w:rPr>
            </w:pPr>
            <w:r>
              <w:rPr>
                <w:sz w:val="20"/>
                <w:szCs w:val="20"/>
              </w:rPr>
              <w:t>Operational staff</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236,125</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230,897</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(5,228)</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(4,161)</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(1,067)</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BA1737" w:rsidRDefault="002D4E05" w:rsidP="00337FA0">
            <w:pPr>
              <w:spacing w:before="40" w:after="40" w:line="240" w:lineRule="auto"/>
              <w:rPr>
                <w:sz w:val="20"/>
                <w:szCs w:val="20"/>
              </w:rPr>
            </w:pPr>
            <w:r>
              <w:rPr>
                <w:sz w:val="20"/>
                <w:szCs w:val="20"/>
              </w:rPr>
              <w:t>Other staff</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52,740</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51,503</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(1,237)</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(360)</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(877)</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682606" w:rsidRDefault="002D4E05" w:rsidP="00337FA0">
            <w:pPr>
              <w:spacing w:before="40" w:after="40" w:line="240" w:lineRule="auto"/>
              <w:rPr>
                <w:sz w:val="20"/>
                <w:szCs w:val="20"/>
              </w:rPr>
            </w:pPr>
            <w:r>
              <w:rPr>
                <w:sz w:val="20"/>
                <w:szCs w:val="20"/>
              </w:rPr>
              <w:t>Employee related</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26,479</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25,376</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(1,103)</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(506)</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(596)</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682606" w:rsidRDefault="002D4E05" w:rsidP="00337FA0">
            <w:pPr>
              <w:spacing w:before="40" w:after="40" w:line="240" w:lineRule="auto"/>
              <w:rPr>
                <w:sz w:val="20"/>
                <w:szCs w:val="20"/>
              </w:rPr>
            </w:pPr>
            <w:r>
              <w:rPr>
                <w:sz w:val="20"/>
                <w:szCs w:val="20"/>
              </w:rPr>
              <w:t>Pensions</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20,489</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20,345</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(144)</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84</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(228)</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B15649" w:rsidRDefault="002D4E05" w:rsidP="00337FA0">
            <w:pPr>
              <w:spacing w:before="40" w:after="40" w:line="240" w:lineRule="auto"/>
              <w:rPr>
                <w:sz w:val="20"/>
                <w:szCs w:val="20"/>
              </w:rPr>
            </w:pPr>
            <w:r>
              <w:rPr>
                <w:sz w:val="20"/>
                <w:szCs w:val="20"/>
              </w:rPr>
              <w:t>Premises</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37,097</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36,059</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(1,039)</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325</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(1,364)</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682606" w:rsidRDefault="002D4E05" w:rsidP="00337FA0">
            <w:pPr>
              <w:spacing w:before="40" w:after="40" w:line="240" w:lineRule="auto"/>
              <w:rPr>
                <w:sz w:val="20"/>
                <w:szCs w:val="20"/>
              </w:rPr>
            </w:pPr>
            <w:r>
              <w:rPr>
                <w:sz w:val="20"/>
                <w:szCs w:val="20"/>
              </w:rPr>
              <w:t>Transport</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15,292</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14,852</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(440)</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(143)</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(297)</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682606" w:rsidRDefault="002D4E05" w:rsidP="00337FA0">
            <w:pPr>
              <w:spacing w:before="40" w:after="40" w:line="240" w:lineRule="auto"/>
              <w:rPr>
                <w:sz w:val="20"/>
                <w:szCs w:val="20"/>
              </w:rPr>
            </w:pPr>
            <w:r>
              <w:rPr>
                <w:sz w:val="20"/>
                <w:szCs w:val="20"/>
              </w:rPr>
              <w:t>Supplies and services</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27,605</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26,495</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(1,110)</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275</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(1,385)</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682606" w:rsidRDefault="002D4E05" w:rsidP="00337FA0">
            <w:pPr>
              <w:spacing w:before="40" w:after="40" w:line="240" w:lineRule="auto"/>
              <w:rPr>
                <w:sz w:val="20"/>
                <w:szCs w:val="20"/>
              </w:rPr>
            </w:pPr>
            <w:r>
              <w:rPr>
                <w:sz w:val="20"/>
                <w:szCs w:val="20"/>
              </w:rPr>
              <w:t>Third party payments</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2,529</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2,908</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379</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279</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100</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682606" w:rsidRDefault="002D4E05" w:rsidP="00337FA0">
            <w:pPr>
              <w:spacing w:before="40" w:after="40" w:line="240" w:lineRule="auto"/>
              <w:rPr>
                <w:sz w:val="20"/>
                <w:szCs w:val="20"/>
              </w:rPr>
            </w:pPr>
            <w:r>
              <w:rPr>
                <w:sz w:val="20"/>
                <w:szCs w:val="20"/>
              </w:rPr>
              <w:t>Capital financing costs</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9,508</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9,414</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(94)</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0</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(94)</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682606" w:rsidRDefault="002D4E05" w:rsidP="00337FA0">
            <w:pPr>
              <w:spacing w:before="40" w:after="40" w:line="240" w:lineRule="auto"/>
              <w:rPr>
                <w:sz w:val="20"/>
                <w:szCs w:val="20"/>
              </w:rPr>
            </w:pPr>
            <w:r>
              <w:rPr>
                <w:sz w:val="20"/>
                <w:szCs w:val="20"/>
              </w:rPr>
              <w:t>Central contingency against inflation</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24</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0</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(24)</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0</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(24)</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000000" w:fill="C0C0C0"/>
            <w:vAlign w:val="center"/>
            <w:hideMark/>
          </w:tcPr>
          <w:p w:rsidR="002D4E05" w:rsidRPr="00682606" w:rsidRDefault="002D4E05" w:rsidP="00337FA0">
            <w:pPr>
              <w:spacing w:before="40" w:after="40" w:line="240" w:lineRule="auto"/>
              <w:rPr>
                <w:b/>
                <w:bCs/>
                <w:sz w:val="20"/>
                <w:szCs w:val="20"/>
              </w:rPr>
            </w:pPr>
            <w:r>
              <w:rPr>
                <w:b/>
                <w:bCs/>
                <w:sz w:val="20"/>
                <w:szCs w:val="20"/>
              </w:rPr>
              <w:t>Total revenue expenditure</w:t>
            </w:r>
          </w:p>
        </w:tc>
        <w:tc>
          <w:tcPr>
            <w:tcW w:w="725"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427,889</w:t>
            </w:r>
          </w:p>
        </w:tc>
        <w:tc>
          <w:tcPr>
            <w:tcW w:w="726"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417,850</w:t>
            </w:r>
          </w:p>
        </w:tc>
        <w:tc>
          <w:tcPr>
            <w:tcW w:w="726"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(10,040)</w:t>
            </w:r>
          </w:p>
        </w:tc>
        <w:tc>
          <w:tcPr>
            <w:tcW w:w="726"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(4,207)</w:t>
            </w:r>
          </w:p>
        </w:tc>
        <w:tc>
          <w:tcPr>
            <w:tcW w:w="724"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(5,833)</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682606" w:rsidRDefault="002D4E05" w:rsidP="00337FA0">
            <w:pPr>
              <w:spacing w:before="40" w:after="40" w:line="240" w:lineRule="auto"/>
              <w:rPr>
                <w:sz w:val="20"/>
                <w:szCs w:val="20"/>
              </w:rPr>
            </w:pPr>
            <w:r>
              <w:rPr>
                <w:sz w:val="20"/>
                <w:szCs w:val="20"/>
              </w:rPr>
              <w:t> </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682606" w:rsidRDefault="002D4E05" w:rsidP="00337FA0">
            <w:pPr>
              <w:spacing w:before="40" w:after="40" w:line="240" w:lineRule="auto"/>
              <w:rPr>
                <w:sz w:val="20"/>
                <w:szCs w:val="20"/>
              </w:rPr>
            </w:pPr>
            <w:r>
              <w:rPr>
                <w:sz w:val="20"/>
                <w:szCs w:val="20"/>
              </w:rPr>
              <w:t xml:space="preserve">Other income </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(36,113)</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(38,277)</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(2,164)</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(412)</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(1,752)</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000000" w:fill="C0C0C0"/>
            <w:vAlign w:val="center"/>
            <w:hideMark/>
          </w:tcPr>
          <w:p w:rsidR="002D4E05" w:rsidRPr="00682606" w:rsidRDefault="002D4E05" w:rsidP="00337FA0">
            <w:pPr>
              <w:spacing w:before="40" w:after="40" w:line="240" w:lineRule="auto"/>
              <w:rPr>
                <w:b/>
                <w:bCs/>
                <w:sz w:val="20"/>
                <w:szCs w:val="20"/>
              </w:rPr>
            </w:pPr>
            <w:r>
              <w:rPr>
                <w:b/>
                <w:bCs/>
                <w:sz w:val="20"/>
                <w:szCs w:val="20"/>
              </w:rPr>
              <w:t>Net revenue expenditure</w:t>
            </w:r>
          </w:p>
        </w:tc>
        <w:tc>
          <w:tcPr>
            <w:tcW w:w="725"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391,777</w:t>
            </w:r>
          </w:p>
        </w:tc>
        <w:tc>
          <w:tcPr>
            <w:tcW w:w="726"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379,572</w:t>
            </w:r>
          </w:p>
        </w:tc>
        <w:tc>
          <w:tcPr>
            <w:tcW w:w="726"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(12,204)</w:t>
            </w:r>
          </w:p>
        </w:tc>
        <w:tc>
          <w:tcPr>
            <w:tcW w:w="726"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(4,619)</w:t>
            </w:r>
          </w:p>
        </w:tc>
        <w:tc>
          <w:tcPr>
            <w:tcW w:w="724"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(7,585)</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682606" w:rsidRDefault="002D4E05" w:rsidP="00337FA0">
            <w:pPr>
              <w:spacing w:before="40" w:after="40" w:line="240" w:lineRule="auto"/>
              <w:rPr>
                <w:b/>
                <w:bCs/>
                <w:sz w:val="20"/>
                <w:szCs w:val="20"/>
              </w:rPr>
            </w:pPr>
            <w:r>
              <w:rPr>
                <w:b/>
                <w:bCs/>
                <w:sz w:val="20"/>
                <w:szCs w:val="20"/>
              </w:rPr>
              <w:t> </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 </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 </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 </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 </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 </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682606" w:rsidRDefault="002D4E05" w:rsidP="00337FA0">
            <w:pPr>
              <w:spacing w:before="40" w:after="40" w:line="240" w:lineRule="auto"/>
              <w:rPr>
                <w:sz w:val="20"/>
                <w:szCs w:val="20"/>
              </w:rPr>
            </w:pPr>
            <w:r>
              <w:rPr>
                <w:sz w:val="20"/>
                <w:szCs w:val="20"/>
              </w:rPr>
              <w:t>Use of earmarked reserves</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4,376</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4,947</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571</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(0)</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571</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000000" w:fill="C0C0C0"/>
            <w:vAlign w:val="center"/>
            <w:hideMark/>
          </w:tcPr>
          <w:p w:rsidR="002D4E05" w:rsidRPr="00682606" w:rsidRDefault="002D4E05" w:rsidP="00337FA0">
            <w:pPr>
              <w:spacing w:before="40" w:after="40" w:line="240" w:lineRule="auto"/>
              <w:rPr>
                <w:b/>
                <w:bCs/>
                <w:sz w:val="20"/>
                <w:szCs w:val="20"/>
              </w:rPr>
            </w:pPr>
            <w:r>
              <w:rPr>
                <w:b/>
                <w:bCs/>
                <w:sz w:val="20"/>
                <w:szCs w:val="20"/>
              </w:rPr>
              <w:t>Financing Requirement</w:t>
            </w:r>
          </w:p>
        </w:tc>
        <w:tc>
          <w:tcPr>
            <w:tcW w:w="725"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396,153</w:t>
            </w:r>
          </w:p>
        </w:tc>
        <w:tc>
          <w:tcPr>
            <w:tcW w:w="726"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384,519</w:t>
            </w:r>
          </w:p>
        </w:tc>
        <w:tc>
          <w:tcPr>
            <w:tcW w:w="726"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(11,633)</w:t>
            </w:r>
          </w:p>
        </w:tc>
        <w:tc>
          <w:tcPr>
            <w:tcW w:w="726"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(4,619)</w:t>
            </w:r>
          </w:p>
        </w:tc>
        <w:tc>
          <w:tcPr>
            <w:tcW w:w="724"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(7,014)</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682606" w:rsidRDefault="002D4E05" w:rsidP="00337FA0">
            <w:pPr>
              <w:spacing w:before="40" w:after="40" w:line="240" w:lineRule="auto"/>
              <w:rPr>
                <w:sz w:val="20"/>
                <w:szCs w:val="20"/>
              </w:rPr>
            </w:pPr>
            <w:r>
              <w:rPr>
                <w:sz w:val="20"/>
                <w:szCs w:val="20"/>
              </w:rPr>
              <w:t> </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682606" w:rsidRDefault="002D4E05" w:rsidP="00337FA0">
            <w:pPr>
              <w:spacing w:before="40" w:after="40" w:line="240" w:lineRule="auto"/>
              <w:rPr>
                <w:sz w:val="20"/>
                <w:szCs w:val="20"/>
              </w:rPr>
            </w:pPr>
            <w:r>
              <w:rPr>
                <w:sz w:val="20"/>
                <w:szCs w:val="20"/>
              </w:rPr>
              <w:t>Financed by:</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682606" w:rsidRDefault="002D4E05" w:rsidP="00337FA0">
            <w:pPr>
              <w:spacing w:before="40" w:after="40" w:line="240" w:lineRule="auto"/>
              <w:rPr>
                <w:sz w:val="20"/>
                <w:szCs w:val="20"/>
              </w:rPr>
            </w:pPr>
            <w:r>
              <w:rPr>
                <w:sz w:val="20"/>
                <w:szCs w:val="20"/>
              </w:rPr>
              <w:t>Specific grants</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(13,753)</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(13,997)</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(244)</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(111)</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(134)</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682606" w:rsidRDefault="002D4E05" w:rsidP="00337FA0">
            <w:pPr>
              <w:spacing w:before="40" w:after="40" w:line="240" w:lineRule="auto"/>
              <w:rPr>
                <w:sz w:val="20"/>
                <w:szCs w:val="20"/>
              </w:rPr>
            </w:pPr>
            <w:r>
              <w:rPr>
                <w:sz w:val="20"/>
                <w:szCs w:val="20"/>
              </w:rPr>
              <w:t>GLA funding</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(382,400)</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(382,400)</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0</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0</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0</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2D4E05" w:rsidRPr="00682606" w:rsidRDefault="002D4E05" w:rsidP="00337FA0">
            <w:pPr>
              <w:spacing w:before="40" w:after="40" w:line="240" w:lineRule="auto"/>
              <w:rPr>
                <w:sz w:val="20"/>
                <w:szCs w:val="20"/>
              </w:rPr>
            </w:pPr>
            <w:r>
              <w:rPr>
                <w:sz w:val="20"/>
                <w:szCs w:val="20"/>
              </w:rPr>
              <w:t> </w:t>
            </w:r>
          </w:p>
        </w:tc>
        <w:tc>
          <w:tcPr>
            <w:tcW w:w="725"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c>
          <w:tcPr>
            <w:tcW w:w="726"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c>
          <w:tcPr>
            <w:tcW w:w="724"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37FA0">
            <w:pPr>
              <w:spacing w:before="40" w:after="40" w:line="240" w:lineRule="auto"/>
              <w:jc w:val="right"/>
              <w:rPr>
                <w:sz w:val="20"/>
                <w:szCs w:val="20"/>
                <w:highlight w:val="yellow"/>
              </w:rPr>
            </w:pPr>
            <w:r>
              <w:rPr>
                <w:sz w:val="20"/>
                <w:szCs w:val="20"/>
              </w:rPr>
              <w:t> </w:t>
            </w:r>
          </w:p>
        </w:tc>
      </w:tr>
      <w:tr w:rsidR="002D4E05" w:rsidRPr="00682606" w:rsidTr="000E2E68">
        <w:trPr>
          <w:trHeight w:val="255"/>
        </w:trPr>
        <w:tc>
          <w:tcPr>
            <w:tcW w:w="1373" w:type="pct"/>
            <w:tcBorders>
              <w:top w:val="nil"/>
              <w:left w:val="single" w:sz="4" w:space="0" w:color="auto"/>
              <w:bottom w:val="single" w:sz="4" w:space="0" w:color="auto"/>
              <w:right w:val="single" w:sz="4" w:space="0" w:color="auto"/>
            </w:tcBorders>
            <w:shd w:val="clear" w:color="000000" w:fill="C0C0C0"/>
            <w:vAlign w:val="center"/>
            <w:hideMark/>
          </w:tcPr>
          <w:p w:rsidR="002D4E05" w:rsidRPr="00682606" w:rsidRDefault="002D4E05" w:rsidP="00337FA0">
            <w:pPr>
              <w:spacing w:before="40" w:after="40" w:line="240" w:lineRule="auto"/>
              <w:rPr>
                <w:b/>
                <w:bCs/>
                <w:sz w:val="20"/>
                <w:szCs w:val="20"/>
              </w:rPr>
            </w:pPr>
            <w:r>
              <w:rPr>
                <w:b/>
                <w:bCs/>
                <w:sz w:val="20"/>
                <w:szCs w:val="20"/>
              </w:rPr>
              <w:t>Net Financial Position</w:t>
            </w:r>
          </w:p>
        </w:tc>
        <w:tc>
          <w:tcPr>
            <w:tcW w:w="725"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0</w:t>
            </w:r>
          </w:p>
        </w:tc>
        <w:tc>
          <w:tcPr>
            <w:tcW w:w="726"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(11,878)</w:t>
            </w:r>
          </w:p>
        </w:tc>
        <w:tc>
          <w:tcPr>
            <w:tcW w:w="726"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(11,878)</w:t>
            </w:r>
          </w:p>
        </w:tc>
        <w:tc>
          <w:tcPr>
            <w:tcW w:w="726"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(4,730)</w:t>
            </w:r>
          </w:p>
        </w:tc>
        <w:tc>
          <w:tcPr>
            <w:tcW w:w="724"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37FA0">
            <w:pPr>
              <w:spacing w:before="40" w:after="40" w:line="240" w:lineRule="auto"/>
              <w:jc w:val="right"/>
              <w:rPr>
                <w:b/>
                <w:bCs/>
                <w:sz w:val="20"/>
                <w:szCs w:val="20"/>
                <w:highlight w:val="yellow"/>
              </w:rPr>
            </w:pPr>
            <w:r>
              <w:rPr>
                <w:b/>
                <w:bCs/>
                <w:sz w:val="20"/>
                <w:szCs w:val="20"/>
              </w:rPr>
              <w:t>(7,148)</w:t>
            </w:r>
          </w:p>
        </w:tc>
      </w:tr>
    </w:tbl>
    <w:p w:rsidR="008F25D4" w:rsidRDefault="008F25D4" w:rsidP="000632F7">
      <w:pPr>
        <w:sectPr w:rsidR="008F25D4" w:rsidSect="008F25D4">
          <w:headerReference w:type="default" r:id="rId19"/>
          <w:headerReference w:type="first" r:id="rId20"/>
          <w:pgSz w:w="11907" w:h="16840" w:code="9"/>
          <w:pgMar w:top="1361" w:right="1134" w:bottom="1361" w:left="1134" w:header="709" w:footer="476" w:gutter="0"/>
          <w:cols w:space="708"/>
          <w:docGrid w:linePitch="360"/>
        </w:sectPr>
      </w:pPr>
    </w:p>
    <w:tbl>
      <w:tblPr>
        <w:tblW w:w="5000" w:type="pct"/>
        <w:jc w:val="center"/>
        <w:tblLook w:val="04A0" w:firstRow="1" w:lastRow="0" w:firstColumn="1" w:lastColumn="0" w:noHBand="0" w:noVBand="1"/>
      </w:tblPr>
      <w:tblGrid>
        <w:gridCol w:w="3240"/>
        <w:gridCol w:w="1669"/>
        <w:gridCol w:w="1668"/>
        <w:gridCol w:w="1668"/>
        <w:gridCol w:w="1668"/>
        <w:gridCol w:w="1087"/>
        <w:gridCol w:w="1668"/>
        <w:gridCol w:w="1666"/>
      </w:tblGrid>
      <w:tr w:rsidR="000D53AF" w:rsidRPr="003A2CBC" w:rsidTr="007A1AC6">
        <w:trPr>
          <w:trHeight w:val="694"/>
          <w:tblHeader/>
          <w:jc w:val="center"/>
        </w:trPr>
        <w:tc>
          <w:tcPr>
            <w:tcW w:w="1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D53AF" w:rsidRPr="003A2CBC" w:rsidRDefault="000D53AF" w:rsidP="003A2CBC">
            <w:pPr>
              <w:spacing w:after="0" w:line="240" w:lineRule="auto"/>
              <w:rPr>
                <w:b/>
                <w:bCs/>
                <w:sz w:val="20"/>
                <w:szCs w:val="20"/>
              </w:rPr>
            </w:pPr>
            <w:r w:rsidRPr="003A2CBC">
              <w:rPr>
                <w:b/>
                <w:bCs/>
                <w:sz w:val="20"/>
                <w:szCs w:val="20"/>
              </w:rPr>
              <w:t> </w:t>
            </w:r>
          </w:p>
        </w:tc>
        <w:tc>
          <w:tcPr>
            <w:tcW w:w="582" w:type="pct"/>
            <w:tcBorders>
              <w:top w:val="single" w:sz="4" w:space="0" w:color="auto"/>
              <w:left w:val="nil"/>
              <w:bottom w:val="single" w:sz="4" w:space="0" w:color="auto"/>
              <w:right w:val="single" w:sz="4" w:space="0" w:color="auto"/>
            </w:tcBorders>
            <w:shd w:val="clear" w:color="auto" w:fill="auto"/>
            <w:vAlign w:val="bottom"/>
            <w:hideMark/>
          </w:tcPr>
          <w:p w:rsidR="000D53AF" w:rsidRPr="003A2CBC" w:rsidRDefault="000D53AF" w:rsidP="003C4168">
            <w:pPr>
              <w:spacing w:after="0" w:line="240" w:lineRule="auto"/>
              <w:jc w:val="center"/>
              <w:rPr>
                <w:b/>
                <w:bCs/>
                <w:sz w:val="20"/>
                <w:szCs w:val="20"/>
              </w:rPr>
            </w:pPr>
            <w:r w:rsidRPr="003A2CBC">
              <w:rPr>
                <w:b/>
                <w:bCs/>
                <w:sz w:val="20"/>
                <w:szCs w:val="20"/>
              </w:rPr>
              <w:t>Original Budget</w:t>
            </w:r>
          </w:p>
        </w:tc>
        <w:tc>
          <w:tcPr>
            <w:tcW w:w="582" w:type="pct"/>
            <w:tcBorders>
              <w:top w:val="single" w:sz="4" w:space="0" w:color="auto"/>
              <w:left w:val="nil"/>
              <w:bottom w:val="single" w:sz="4" w:space="0" w:color="auto"/>
              <w:right w:val="single" w:sz="4" w:space="0" w:color="auto"/>
            </w:tcBorders>
            <w:shd w:val="clear" w:color="auto" w:fill="auto"/>
            <w:vAlign w:val="bottom"/>
            <w:hideMark/>
          </w:tcPr>
          <w:p w:rsidR="000D53AF" w:rsidRPr="003A2CBC" w:rsidRDefault="000D53AF" w:rsidP="003C4168">
            <w:pPr>
              <w:spacing w:after="0" w:line="240" w:lineRule="auto"/>
              <w:jc w:val="center"/>
              <w:rPr>
                <w:b/>
                <w:bCs/>
                <w:sz w:val="20"/>
                <w:szCs w:val="20"/>
              </w:rPr>
            </w:pPr>
            <w:r w:rsidRPr="003A2CBC">
              <w:rPr>
                <w:b/>
                <w:bCs/>
                <w:sz w:val="20"/>
                <w:szCs w:val="20"/>
              </w:rPr>
              <w:t>Revised Budget</w:t>
            </w:r>
          </w:p>
        </w:tc>
        <w:tc>
          <w:tcPr>
            <w:tcW w:w="582" w:type="pct"/>
            <w:tcBorders>
              <w:top w:val="single" w:sz="4" w:space="0" w:color="auto"/>
              <w:left w:val="nil"/>
              <w:bottom w:val="single" w:sz="4" w:space="0" w:color="auto"/>
              <w:right w:val="single" w:sz="4" w:space="0" w:color="auto"/>
            </w:tcBorders>
            <w:shd w:val="clear" w:color="auto" w:fill="auto"/>
            <w:vAlign w:val="bottom"/>
            <w:hideMark/>
          </w:tcPr>
          <w:p w:rsidR="000D53AF" w:rsidRPr="003A2CBC" w:rsidRDefault="000D53AF" w:rsidP="003C4168">
            <w:pPr>
              <w:spacing w:after="0" w:line="240" w:lineRule="auto"/>
              <w:jc w:val="center"/>
              <w:rPr>
                <w:b/>
                <w:bCs/>
                <w:sz w:val="20"/>
                <w:szCs w:val="20"/>
              </w:rPr>
            </w:pPr>
            <w:r w:rsidRPr="003A2CBC">
              <w:rPr>
                <w:b/>
                <w:bCs/>
                <w:sz w:val="20"/>
                <w:szCs w:val="20"/>
              </w:rPr>
              <w:t>Outturn</w:t>
            </w:r>
          </w:p>
        </w:tc>
        <w:tc>
          <w:tcPr>
            <w:tcW w:w="961" w:type="pct"/>
            <w:gridSpan w:val="2"/>
            <w:tcBorders>
              <w:top w:val="single" w:sz="4" w:space="0" w:color="auto"/>
              <w:left w:val="nil"/>
              <w:bottom w:val="single" w:sz="4" w:space="0" w:color="auto"/>
              <w:right w:val="single" w:sz="4" w:space="0" w:color="auto"/>
            </w:tcBorders>
            <w:shd w:val="clear" w:color="auto" w:fill="auto"/>
            <w:vAlign w:val="bottom"/>
            <w:hideMark/>
          </w:tcPr>
          <w:p w:rsidR="000D53AF" w:rsidRPr="003A2CBC" w:rsidRDefault="000D53AF" w:rsidP="003C4168">
            <w:pPr>
              <w:spacing w:after="0" w:line="240" w:lineRule="auto"/>
              <w:jc w:val="center"/>
              <w:rPr>
                <w:b/>
                <w:bCs/>
                <w:sz w:val="20"/>
                <w:szCs w:val="20"/>
              </w:rPr>
            </w:pPr>
            <w:r w:rsidRPr="003A2CBC">
              <w:rPr>
                <w:b/>
                <w:bCs/>
                <w:sz w:val="20"/>
                <w:szCs w:val="20"/>
              </w:rPr>
              <w:t>Outturn Variance</w:t>
            </w: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D53AF" w:rsidRPr="003A2CBC" w:rsidRDefault="000D53AF" w:rsidP="003C4168">
            <w:pPr>
              <w:spacing w:after="0" w:line="240" w:lineRule="auto"/>
              <w:jc w:val="center"/>
              <w:rPr>
                <w:b/>
                <w:bCs/>
                <w:sz w:val="20"/>
                <w:szCs w:val="20"/>
              </w:rPr>
            </w:pPr>
            <w:r>
              <w:rPr>
                <w:b/>
                <w:bCs/>
                <w:sz w:val="20"/>
                <w:szCs w:val="20"/>
              </w:rPr>
              <w:t>Previous Forecast Outturn Variance (Q3)</w:t>
            </w:r>
          </w:p>
        </w:tc>
        <w:tc>
          <w:tcPr>
            <w:tcW w:w="581" w:type="pct"/>
            <w:tcBorders>
              <w:top w:val="single" w:sz="4" w:space="0" w:color="auto"/>
              <w:left w:val="nil"/>
              <w:bottom w:val="single" w:sz="4" w:space="0" w:color="auto"/>
              <w:right w:val="single" w:sz="4" w:space="0" w:color="auto"/>
            </w:tcBorders>
            <w:shd w:val="clear" w:color="auto" w:fill="auto"/>
            <w:vAlign w:val="bottom"/>
            <w:hideMark/>
          </w:tcPr>
          <w:p w:rsidR="000D53AF" w:rsidRPr="003A2CBC" w:rsidRDefault="000D53AF" w:rsidP="003C4168">
            <w:pPr>
              <w:spacing w:after="0" w:line="240" w:lineRule="auto"/>
              <w:jc w:val="center"/>
              <w:rPr>
                <w:b/>
                <w:bCs/>
                <w:sz w:val="20"/>
                <w:szCs w:val="20"/>
              </w:rPr>
            </w:pPr>
            <w:r>
              <w:rPr>
                <w:b/>
                <w:bCs/>
                <w:sz w:val="20"/>
                <w:szCs w:val="20"/>
              </w:rPr>
              <w:t>Movement between Q3 and outturn variance</w:t>
            </w:r>
          </w:p>
        </w:tc>
      </w:tr>
      <w:tr w:rsidR="00337FA0" w:rsidRPr="003A2CBC" w:rsidTr="007A1AC6">
        <w:trPr>
          <w:trHeight w:val="255"/>
          <w:tblHeader/>
          <w:jc w:val="center"/>
        </w:trPr>
        <w:tc>
          <w:tcPr>
            <w:tcW w:w="1130" w:type="pct"/>
            <w:tcBorders>
              <w:top w:val="nil"/>
              <w:left w:val="single" w:sz="4" w:space="0" w:color="auto"/>
              <w:bottom w:val="single" w:sz="4" w:space="0" w:color="auto"/>
              <w:right w:val="single" w:sz="4" w:space="0" w:color="auto"/>
            </w:tcBorders>
            <w:shd w:val="clear" w:color="auto" w:fill="auto"/>
            <w:vAlign w:val="bottom"/>
            <w:hideMark/>
          </w:tcPr>
          <w:p w:rsidR="00337FA0" w:rsidRPr="003A2CBC" w:rsidRDefault="00337FA0" w:rsidP="003A2CBC">
            <w:pPr>
              <w:spacing w:after="0" w:line="240" w:lineRule="auto"/>
              <w:rPr>
                <w:b/>
                <w:bCs/>
                <w:sz w:val="20"/>
                <w:szCs w:val="20"/>
              </w:rPr>
            </w:pPr>
            <w:r w:rsidRPr="003A2CBC">
              <w:rPr>
                <w:b/>
                <w:bCs/>
                <w:sz w:val="20"/>
                <w:szCs w:val="20"/>
              </w:rPr>
              <w:t> </w:t>
            </w:r>
          </w:p>
        </w:tc>
        <w:tc>
          <w:tcPr>
            <w:tcW w:w="582" w:type="pct"/>
            <w:tcBorders>
              <w:top w:val="nil"/>
              <w:left w:val="nil"/>
              <w:bottom w:val="single" w:sz="4" w:space="0" w:color="auto"/>
              <w:right w:val="single" w:sz="4" w:space="0" w:color="auto"/>
            </w:tcBorders>
            <w:shd w:val="clear" w:color="auto" w:fill="auto"/>
            <w:vAlign w:val="bottom"/>
            <w:hideMark/>
          </w:tcPr>
          <w:p w:rsidR="00337FA0" w:rsidRPr="003A2CBC" w:rsidRDefault="00337FA0" w:rsidP="003A2CBC">
            <w:pPr>
              <w:spacing w:after="0" w:line="240" w:lineRule="auto"/>
              <w:jc w:val="center"/>
              <w:rPr>
                <w:b/>
                <w:bCs/>
                <w:sz w:val="20"/>
                <w:szCs w:val="20"/>
              </w:rPr>
            </w:pPr>
            <w:r>
              <w:rPr>
                <w:b/>
                <w:bCs/>
                <w:sz w:val="20"/>
                <w:szCs w:val="20"/>
              </w:rPr>
              <w:t>£</w:t>
            </w:r>
          </w:p>
        </w:tc>
        <w:tc>
          <w:tcPr>
            <w:tcW w:w="582" w:type="pct"/>
            <w:tcBorders>
              <w:top w:val="nil"/>
              <w:left w:val="nil"/>
              <w:bottom w:val="single" w:sz="4" w:space="0" w:color="auto"/>
              <w:right w:val="single" w:sz="4" w:space="0" w:color="auto"/>
            </w:tcBorders>
            <w:shd w:val="clear" w:color="auto" w:fill="auto"/>
            <w:vAlign w:val="bottom"/>
            <w:hideMark/>
          </w:tcPr>
          <w:p w:rsidR="00337FA0" w:rsidRPr="003A2CBC" w:rsidRDefault="00337FA0" w:rsidP="003A2CBC">
            <w:pPr>
              <w:spacing w:after="0" w:line="240" w:lineRule="auto"/>
              <w:jc w:val="center"/>
              <w:rPr>
                <w:b/>
                <w:bCs/>
                <w:sz w:val="20"/>
                <w:szCs w:val="20"/>
              </w:rPr>
            </w:pPr>
            <w:r>
              <w:rPr>
                <w:b/>
                <w:bCs/>
                <w:sz w:val="20"/>
                <w:szCs w:val="20"/>
              </w:rPr>
              <w:t>£</w:t>
            </w:r>
          </w:p>
        </w:tc>
        <w:tc>
          <w:tcPr>
            <w:tcW w:w="582" w:type="pct"/>
            <w:tcBorders>
              <w:top w:val="nil"/>
              <w:left w:val="nil"/>
              <w:bottom w:val="single" w:sz="4" w:space="0" w:color="auto"/>
              <w:right w:val="single" w:sz="4" w:space="0" w:color="auto"/>
            </w:tcBorders>
            <w:shd w:val="clear" w:color="auto" w:fill="auto"/>
            <w:vAlign w:val="bottom"/>
            <w:hideMark/>
          </w:tcPr>
          <w:p w:rsidR="00337FA0" w:rsidRPr="003A2CBC" w:rsidRDefault="00337FA0" w:rsidP="003A2CBC">
            <w:pPr>
              <w:spacing w:after="0" w:line="240" w:lineRule="auto"/>
              <w:jc w:val="center"/>
              <w:rPr>
                <w:b/>
                <w:bCs/>
                <w:sz w:val="20"/>
                <w:szCs w:val="20"/>
              </w:rPr>
            </w:pPr>
            <w:r>
              <w:rPr>
                <w:b/>
                <w:bCs/>
                <w:sz w:val="20"/>
                <w:szCs w:val="20"/>
              </w:rPr>
              <w:t>£</w:t>
            </w:r>
          </w:p>
        </w:tc>
        <w:tc>
          <w:tcPr>
            <w:tcW w:w="582" w:type="pct"/>
            <w:tcBorders>
              <w:top w:val="nil"/>
              <w:left w:val="nil"/>
              <w:bottom w:val="single" w:sz="4" w:space="0" w:color="auto"/>
              <w:right w:val="single" w:sz="4" w:space="0" w:color="auto"/>
            </w:tcBorders>
            <w:shd w:val="clear" w:color="auto" w:fill="auto"/>
            <w:vAlign w:val="bottom"/>
            <w:hideMark/>
          </w:tcPr>
          <w:p w:rsidR="00337FA0" w:rsidRPr="003A2CBC" w:rsidRDefault="00337FA0" w:rsidP="003A2CBC">
            <w:pPr>
              <w:spacing w:after="0" w:line="240" w:lineRule="auto"/>
              <w:jc w:val="center"/>
              <w:rPr>
                <w:b/>
                <w:bCs/>
                <w:sz w:val="20"/>
                <w:szCs w:val="20"/>
              </w:rPr>
            </w:pPr>
            <w:r>
              <w:rPr>
                <w:b/>
                <w:bCs/>
                <w:sz w:val="20"/>
                <w:szCs w:val="20"/>
              </w:rPr>
              <w:t>£</w:t>
            </w:r>
          </w:p>
        </w:tc>
        <w:tc>
          <w:tcPr>
            <w:tcW w:w="379" w:type="pct"/>
            <w:tcBorders>
              <w:top w:val="single" w:sz="4" w:space="0" w:color="auto"/>
              <w:left w:val="nil"/>
              <w:bottom w:val="single" w:sz="4" w:space="0" w:color="auto"/>
              <w:right w:val="single" w:sz="4" w:space="0" w:color="auto"/>
            </w:tcBorders>
            <w:vAlign w:val="bottom"/>
          </w:tcPr>
          <w:p w:rsidR="00337FA0" w:rsidRDefault="00337FA0" w:rsidP="003A2CBC">
            <w:pPr>
              <w:spacing w:after="0" w:line="240" w:lineRule="auto"/>
              <w:jc w:val="center"/>
              <w:rPr>
                <w:b/>
                <w:bCs/>
                <w:sz w:val="20"/>
                <w:szCs w:val="20"/>
              </w:rPr>
            </w:pPr>
            <w:r>
              <w:rPr>
                <w:b/>
                <w:bCs/>
                <w:sz w:val="20"/>
                <w:szCs w:val="20"/>
              </w:rPr>
              <w:t>%</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37FA0" w:rsidRPr="003A2CBC" w:rsidRDefault="00337FA0" w:rsidP="003A2CBC">
            <w:pPr>
              <w:spacing w:after="0" w:line="240" w:lineRule="auto"/>
              <w:jc w:val="center"/>
              <w:rPr>
                <w:b/>
                <w:bCs/>
                <w:sz w:val="20"/>
                <w:szCs w:val="20"/>
              </w:rPr>
            </w:pPr>
            <w:r>
              <w:rPr>
                <w:b/>
                <w:bCs/>
                <w:sz w:val="20"/>
                <w:szCs w:val="20"/>
              </w:rPr>
              <w:t>£</w:t>
            </w:r>
          </w:p>
        </w:tc>
        <w:tc>
          <w:tcPr>
            <w:tcW w:w="581" w:type="pct"/>
            <w:tcBorders>
              <w:top w:val="nil"/>
              <w:left w:val="nil"/>
              <w:bottom w:val="single" w:sz="4" w:space="0" w:color="auto"/>
              <w:right w:val="single" w:sz="4" w:space="0" w:color="auto"/>
            </w:tcBorders>
            <w:shd w:val="clear" w:color="auto" w:fill="auto"/>
            <w:vAlign w:val="bottom"/>
            <w:hideMark/>
          </w:tcPr>
          <w:p w:rsidR="00337FA0" w:rsidRPr="003A2CBC" w:rsidRDefault="00337FA0" w:rsidP="003A2CBC">
            <w:pPr>
              <w:spacing w:after="0" w:line="240" w:lineRule="auto"/>
              <w:jc w:val="center"/>
              <w:rPr>
                <w:b/>
                <w:bCs/>
                <w:sz w:val="20"/>
                <w:szCs w:val="20"/>
              </w:rPr>
            </w:pPr>
            <w:r>
              <w:rPr>
                <w:b/>
                <w:bCs/>
                <w:sz w:val="20"/>
                <w:szCs w:val="20"/>
              </w:rPr>
              <w:t>£</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Operational Staff</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233,410,405</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234,889,172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229,634,377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(5,254,794)</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(2.2%)</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(4,160,538)</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(1,094,256)</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Trainee Firefighters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1,235,886</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1,235,884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1,262,657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26,773</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2.2%</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26,773</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3A2CBC" w:rsidRDefault="002D4E05" w:rsidP="003A2CBC">
            <w:pPr>
              <w:spacing w:after="0" w:line="240" w:lineRule="auto"/>
              <w:rPr>
                <w:sz w:val="20"/>
                <w:szCs w:val="20"/>
              </w:rPr>
            </w:pPr>
            <w:r>
              <w:rPr>
                <w:sz w:val="20"/>
                <w:szCs w:val="20"/>
              </w:rPr>
              <w:t>Total Operational Staff</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234,646,291</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236,125,056</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230,897,035</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(5,228,021)</w:t>
            </w:r>
          </w:p>
        </w:tc>
        <w:tc>
          <w:tcPr>
            <w:tcW w:w="379" w:type="pct"/>
            <w:tcBorders>
              <w:top w:val="single" w:sz="4" w:space="0" w:color="auto"/>
              <w:left w:val="nil"/>
              <w:bottom w:val="single" w:sz="4" w:space="0" w:color="auto"/>
              <w:right w:val="single" w:sz="4" w:space="0" w:color="auto"/>
            </w:tcBorders>
            <w:shd w:val="clear" w:color="000000" w:fill="C0C0C0"/>
            <w:vAlign w:val="center"/>
          </w:tcPr>
          <w:p w:rsidR="002D4E05" w:rsidRPr="0022033A" w:rsidRDefault="002D4E05" w:rsidP="003A2CBC">
            <w:pPr>
              <w:spacing w:after="0" w:line="240" w:lineRule="auto"/>
              <w:jc w:val="right"/>
              <w:rPr>
                <w:sz w:val="20"/>
                <w:szCs w:val="20"/>
                <w:highlight w:val="yellow"/>
              </w:rPr>
            </w:pPr>
            <w:r>
              <w:rPr>
                <w:sz w:val="20"/>
                <w:szCs w:val="20"/>
              </w:rPr>
              <w:t>(2.2%)</w:t>
            </w:r>
          </w:p>
        </w:tc>
        <w:tc>
          <w:tcPr>
            <w:tcW w:w="582"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(4,160,538)</w:t>
            </w:r>
          </w:p>
        </w:tc>
        <w:tc>
          <w:tcPr>
            <w:tcW w:w="581"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(1,067,483)</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FRS Staff</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45,520,950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47,430,877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46,002,982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(1,427,895)</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(3.0%)</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(509,894)</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(918,001)</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Control Staff</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5,442,449</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5,309,097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5,500,079</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190,982</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3.6%</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150,097</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40,885</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3A2CBC" w:rsidRDefault="002D4E05" w:rsidP="003A2CBC">
            <w:pPr>
              <w:spacing w:after="0" w:line="240" w:lineRule="auto"/>
              <w:rPr>
                <w:sz w:val="20"/>
                <w:szCs w:val="20"/>
              </w:rPr>
            </w:pPr>
            <w:r>
              <w:rPr>
                <w:sz w:val="20"/>
                <w:szCs w:val="20"/>
              </w:rPr>
              <w:t>Total Other Staff</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50,963,400</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52,739,974</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51,503,061</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(1,236,912)</w:t>
            </w:r>
          </w:p>
        </w:tc>
        <w:tc>
          <w:tcPr>
            <w:tcW w:w="379" w:type="pct"/>
            <w:tcBorders>
              <w:top w:val="single" w:sz="4" w:space="0" w:color="auto"/>
              <w:left w:val="nil"/>
              <w:bottom w:val="single" w:sz="4" w:space="0" w:color="auto"/>
              <w:right w:val="single" w:sz="4" w:space="0" w:color="auto"/>
            </w:tcBorders>
            <w:shd w:val="clear" w:color="000000" w:fill="C0C0C0"/>
            <w:vAlign w:val="center"/>
          </w:tcPr>
          <w:p w:rsidR="002D4E05" w:rsidRPr="0022033A" w:rsidRDefault="002D4E05" w:rsidP="003A2CBC">
            <w:pPr>
              <w:spacing w:after="0" w:line="240" w:lineRule="auto"/>
              <w:jc w:val="right"/>
              <w:rPr>
                <w:sz w:val="20"/>
                <w:szCs w:val="20"/>
                <w:highlight w:val="yellow"/>
              </w:rPr>
            </w:pPr>
            <w:r>
              <w:rPr>
                <w:sz w:val="20"/>
                <w:szCs w:val="20"/>
              </w:rPr>
              <w:t>(2.3%)</w:t>
            </w:r>
          </w:p>
        </w:tc>
        <w:tc>
          <w:tcPr>
            <w:tcW w:w="582"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(359,797)</w:t>
            </w:r>
          </w:p>
        </w:tc>
        <w:tc>
          <w:tcPr>
            <w:tcW w:w="581"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(877,115)</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Other Pension Payments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990,000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990,000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964,607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(25,393)</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(2.6%)</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(25,393)</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Severance</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129,392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210,244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80,852</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62.5%</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13,566</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67,287</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Professional Development</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20,911,224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21,988,813</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21,393,705</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(595,108)</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(2.7%)</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108,400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(703,508)</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Recruitment</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162,100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267,100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243,221</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(23,879)</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(8.9%)</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(13,597)</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(10,282)</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Employee Related Insurance</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190,000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197,218</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207,590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10,372</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5.3%</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15,165</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(4,793)</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Compensation</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555,813</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555,813</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946,432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390,619</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70.3%</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230,535</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160,084</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Medical and Welfare Expenses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2,782,076</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2,713,071</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1,799,680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(913,391)</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(33.7%)</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(860,471)</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(52,920)</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Employee Capitalised Costs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(245,400)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(362,451)</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(389,230)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(26,779)</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7.4%</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(26,779)</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3A2CBC" w:rsidRDefault="002D4E05" w:rsidP="003A2CBC">
            <w:pPr>
              <w:spacing w:after="0" w:line="240" w:lineRule="auto"/>
              <w:rPr>
                <w:sz w:val="20"/>
                <w:szCs w:val="20"/>
              </w:rPr>
            </w:pPr>
            <w:r>
              <w:rPr>
                <w:sz w:val="20"/>
                <w:szCs w:val="20"/>
              </w:rPr>
              <w:t>Total Employee Related</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25,345,813</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26,478,957</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25,376,250</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(1,102,707)</w:t>
            </w:r>
          </w:p>
        </w:tc>
        <w:tc>
          <w:tcPr>
            <w:tcW w:w="379" w:type="pct"/>
            <w:tcBorders>
              <w:top w:val="single" w:sz="4" w:space="0" w:color="auto"/>
              <w:left w:val="nil"/>
              <w:bottom w:val="single" w:sz="4" w:space="0" w:color="auto"/>
              <w:right w:val="single" w:sz="4" w:space="0" w:color="auto"/>
            </w:tcBorders>
            <w:shd w:val="clear" w:color="000000" w:fill="C0C0C0"/>
            <w:vAlign w:val="center"/>
          </w:tcPr>
          <w:p w:rsidR="002D4E05" w:rsidRPr="0022033A" w:rsidRDefault="002D4E05" w:rsidP="003A2CBC">
            <w:pPr>
              <w:spacing w:after="0" w:line="240" w:lineRule="auto"/>
              <w:jc w:val="right"/>
              <w:rPr>
                <w:sz w:val="20"/>
                <w:szCs w:val="20"/>
                <w:highlight w:val="yellow"/>
              </w:rPr>
            </w:pPr>
            <w:r>
              <w:rPr>
                <w:sz w:val="20"/>
                <w:szCs w:val="20"/>
              </w:rPr>
              <w:t>(4.2%)</w:t>
            </w:r>
          </w:p>
        </w:tc>
        <w:tc>
          <w:tcPr>
            <w:tcW w:w="582"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(506,402)</w:t>
            </w:r>
          </w:p>
        </w:tc>
        <w:tc>
          <w:tcPr>
            <w:tcW w:w="581"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(596,304)</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3A2CBC" w:rsidRDefault="002D4E05" w:rsidP="003A2CBC">
            <w:pPr>
              <w:spacing w:after="0" w:line="240" w:lineRule="auto"/>
              <w:rPr>
                <w:sz w:val="20"/>
                <w:szCs w:val="20"/>
              </w:rPr>
            </w:pPr>
            <w:r>
              <w:rPr>
                <w:sz w:val="20"/>
                <w:szCs w:val="20"/>
              </w:rPr>
              <w:t>Firefighter Pension Scheme</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20,489,000</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20,489,000</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20,344,600</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(144,400)</w:t>
            </w:r>
          </w:p>
        </w:tc>
        <w:tc>
          <w:tcPr>
            <w:tcW w:w="379" w:type="pct"/>
            <w:tcBorders>
              <w:top w:val="single" w:sz="4" w:space="0" w:color="auto"/>
              <w:left w:val="nil"/>
              <w:bottom w:val="single" w:sz="4" w:space="0" w:color="auto"/>
              <w:right w:val="single" w:sz="4" w:space="0" w:color="auto"/>
            </w:tcBorders>
            <w:shd w:val="clear" w:color="000000" w:fill="C0C0C0"/>
            <w:vAlign w:val="center"/>
          </w:tcPr>
          <w:p w:rsidR="002D4E05" w:rsidRPr="0022033A" w:rsidRDefault="002D4E05" w:rsidP="003A2CBC">
            <w:pPr>
              <w:spacing w:after="0" w:line="240" w:lineRule="auto"/>
              <w:jc w:val="right"/>
              <w:rPr>
                <w:sz w:val="20"/>
                <w:szCs w:val="20"/>
                <w:highlight w:val="yellow"/>
              </w:rPr>
            </w:pPr>
            <w:r>
              <w:rPr>
                <w:sz w:val="20"/>
                <w:szCs w:val="20"/>
              </w:rPr>
              <w:t>(0.7%)</w:t>
            </w:r>
          </w:p>
        </w:tc>
        <w:tc>
          <w:tcPr>
            <w:tcW w:w="582"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84,009</w:t>
            </w:r>
          </w:p>
        </w:tc>
        <w:tc>
          <w:tcPr>
            <w:tcW w:w="581"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(228,409)</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Building Maintenance</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7,241,163</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7,011,287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8,683,977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1,672,690</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23.9%</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1,725,240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(52,550)</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Grounds Maintenance</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118,382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132,396</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98,617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(33,779)</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(25.5%)</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(33,779)</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Premises Security</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397,752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505,752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681,815</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176,063</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34.8%</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210,000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(33,937)</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Energy Costs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2,031,205</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2,031,205</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2,189,626</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158,421</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7.8%</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60,000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98,421</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Rents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7,801,412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7,935,163</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8,115,180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180,017</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2.3%</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181,326</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(1,309)</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Property PFI Contract</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5,545,202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5,545,202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5,489,617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(55,586)</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(1.0%)</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(60,000)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4,414</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B15649" w:rsidRDefault="002D4E05" w:rsidP="003A2CBC">
            <w:pPr>
              <w:spacing w:after="0" w:line="240" w:lineRule="auto"/>
              <w:rPr>
                <w:sz w:val="20"/>
                <w:szCs w:val="20"/>
              </w:rPr>
            </w:pPr>
            <w:r>
              <w:rPr>
                <w:sz w:val="20"/>
                <w:szCs w:val="20"/>
              </w:rPr>
              <w:t>Property Rates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9,291,368</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9,166,368</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6,053,895</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(3,112,473)</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(34.0%)</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(2,017,000)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(1,095,473)</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Water &amp; Sewerage Rates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255,515</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255,515</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326,197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70,682</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27.7%</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40,000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30,682</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Fixtures &amp; Fittings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332,861</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111,980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192,148</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80,168</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71.6%</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100,568</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(20,400)</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Cleaning and Domestic Supplies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2,032,753</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2,031,104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2,001,709</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(29,395)</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(1.4%)</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250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(29,645)</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Premises Insurance</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372,000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372,000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304,281</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(67,719)</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(18.2%)</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(32,000)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(35,719)</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Other Property Services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1,526,726</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1,999,524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1,921,930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(77,594)</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(3.9%)</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117,000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(194,594)</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3A2CBC" w:rsidRDefault="002D4E05" w:rsidP="003A2CBC">
            <w:pPr>
              <w:spacing w:after="0" w:line="240" w:lineRule="auto"/>
              <w:rPr>
                <w:sz w:val="20"/>
                <w:szCs w:val="20"/>
              </w:rPr>
            </w:pPr>
            <w:r>
              <w:rPr>
                <w:sz w:val="20"/>
                <w:szCs w:val="20"/>
              </w:rPr>
              <w:t>Total Premises</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36,946,338</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37,097,495</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36,058,991</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(1,038,504)</w:t>
            </w:r>
          </w:p>
        </w:tc>
        <w:tc>
          <w:tcPr>
            <w:tcW w:w="379" w:type="pct"/>
            <w:tcBorders>
              <w:top w:val="single" w:sz="4" w:space="0" w:color="auto"/>
              <w:left w:val="nil"/>
              <w:bottom w:val="single" w:sz="4" w:space="0" w:color="auto"/>
              <w:right w:val="single" w:sz="4" w:space="0" w:color="auto"/>
            </w:tcBorders>
            <w:shd w:val="clear" w:color="000000" w:fill="C0C0C0"/>
            <w:vAlign w:val="center"/>
          </w:tcPr>
          <w:p w:rsidR="002D4E05" w:rsidRPr="0022033A" w:rsidRDefault="002D4E05" w:rsidP="003A2CBC">
            <w:pPr>
              <w:spacing w:after="0" w:line="240" w:lineRule="auto"/>
              <w:jc w:val="right"/>
              <w:rPr>
                <w:sz w:val="20"/>
                <w:szCs w:val="20"/>
                <w:highlight w:val="yellow"/>
              </w:rPr>
            </w:pPr>
            <w:r>
              <w:rPr>
                <w:sz w:val="20"/>
                <w:szCs w:val="20"/>
              </w:rPr>
              <w:t>(2.8%)</w:t>
            </w:r>
          </w:p>
        </w:tc>
        <w:tc>
          <w:tcPr>
            <w:tcW w:w="582"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325,384</w:t>
            </w:r>
          </w:p>
        </w:tc>
        <w:tc>
          <w:tcPr>
            <w:tcW w:w="581"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(1,363,888)</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Running Costs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2,092,597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1,717,861</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1,963,207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245,346</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14.3%</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229,243</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16,103</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Vehicle and Equipment Contract</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10,783,624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10,783,624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10,558,852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(224,773)</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(2.1%)</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(90,880)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(133,893)</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Vehicle Passthroughs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645,172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605,465</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291,594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(313,872)</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(51.8%)</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(151,661)</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(162,211)</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Maintenance and Repairs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905,000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6,211</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6,211</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0.0%</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6,211</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Contract Hire &amp; Operating Leases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1,189,900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1,228,821</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1,134,201</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(94,620)</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(7.7%)</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(88,698)</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(5,922)</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Travel</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1,122,627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956,655</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898,422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(58,233)</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(6.1%)</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(41,424)</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(16,809)</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3A2CBC" w:rsidRDefault="002D4E05" w:rsidP="003A2CBC">
            <w:pPr>
              <w:spacing w:after="0" w:line="240" w:lineRule="auto"/>
              <w:rPr>
                <w:sz w:val="20"/>
                <w:szCs w:val="20"/>
              </w:rPr>
            </w:pPr>
            <w:r>
              <w:rPr>
                <w:sz w:val="20"/>
                <w:szCs w:val="20"/>
              </w:rPr>
              <w:t>Total Transport</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16,738,920</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15,292,427</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14,852,487</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(439,939)</w:t>
            </w:r>
          </w:p>
        </w:tc>
        <w:tc>
          <w:tcPr>
            <w:tcW w:w="379" w:type="pct"/>
            <w:tcBorders>
              <w:top w:val="single" w:sz="4" w:space="0" w:color="auto"/>
              <w:left w:val="nil"/>
              <w:bottom w:val="single" w:sz="4" w:space="0" w:color="auto"/>
              <w:right w:val="single" w:sz="4" w:space="0" w:color="auto"/>
            </w:tcBorders>
            <w:shd w:val="clear" w:color="000000" w:fill="C0C0C0"/>
            <w:vAlign w:val="center"/>
          </w:tcPr>
          <w:p w:rsidR="002D4E05" w:rsidRPr="0022033A" w:rsidRDefault="002D4E05" w:rsidP="003A2CBC">
            <w:pPr>
              <w:spacing w:after="0" w:line="240" w:lineRule="auto"/>
              <w:jc w:val="right"/>
              <w:rPr>
                <w:sz w:val="20"/>
                <w:szCs w:val="20"/>
                <w:highlight w:val="yellow"/>
              </w:rPr>
            </w:pPr>
            <w:r>
              <w:rPr>
                <w:sz w:val="20"/>
                <w:szCs w:val="20"/>
              </w:rPr>
              <w:t>(2.9%)</w:t>
            </w:r>
          </w:p>
        </w:tc>
        <w:tc>
          <w:tcPr>
            <w:tcW w:w="582"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(143,420)</w:t>
            </w:r>
          </w:p>
        </w:tc>
        <w:tc>
          <w:tcPr>
            <w:tcW w:w="581"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(296,519)</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Hydrants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600,900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581,492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380,790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(200,702)</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(34.5%)</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(181,455)</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(19,247)</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Operational Equipment</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2,123,414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1,731,453</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1,717,381</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(14,071)</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(0.8%)</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377,334</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(391,406)</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Smoke Alarms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700,000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708,357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474,179</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(234,178)</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(33.1%)</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11,418</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(245,596)</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Equipment Furniture and Materials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534,188</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278,789</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352,136</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73,347</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26.3%</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17,194</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56,153</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Lost &amp; NFWT Operational Equipment</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107,387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107,387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45,473</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(61,914)</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(57.7%)</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(61,917)</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Catering</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120,104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318,591</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278,610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(39,981)</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(12.5%)</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(29,842)</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(10,139)</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Clothing &amp; Laundry</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2,790,337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2,801,982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2,825,891</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23,908</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0.9%</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(20,470)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44,378</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General Office Expenses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378,869</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731,056</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625,014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(106,042)</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(14.5%)</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74,634</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(180,676)</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Professional Services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8,550,475</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8,909,468</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8,622,269</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(287,198)</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(3.2%)</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26,925</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(314,124)</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Postal Services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61,255</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61,276</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71,829</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10,552</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17.2%</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10,592</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Communications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3,567,294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3,801,193</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4,182,940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381,746</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10.0%</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14,042</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367,704</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Hardware and Software</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6,121,843</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6,564,474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5,934,583</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(629,892)</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(9.6%)</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(19,251)</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(610,641)</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Staff Reimbursements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450,565</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315,764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345,942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30,178</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9.6%</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29,415</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763</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Grants and Subscriptions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225,724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235,841</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182,896</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(52,944)</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(22.4%)</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1,820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(54,764)</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Other Insurance</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225,000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227,446</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189,060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(38,386)</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(16.9%)</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(39,333)</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947</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Advertising</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112,450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173,488</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181,912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8,424</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4.9%</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9,347</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(923)</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Other Supplies and Services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212,476</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57,224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84,385</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27,161</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47.5%</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3,417</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23,744</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3A2CBC" w:rsidRDefault="002D4E05" w:rsidP="003A2CBC">
            <w:pPr>
              <w:spacing w:after="0" w:line="240" w:lineRule="auto"/>
              <w:rPr>
                <w:sz w:val="20"/>
                <w:szCs w:val="20"/>
              </w:rPr>
            </w:pPr>
            <w:r>
              <w:rPr>
                <w:sz w:val="20"/>
                <w:szCs w:val="20"/>
              </w:rPr>
              <w:t>Total Supplies and Services</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26,882,280</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27,605,280</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26,495,289</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(1,109,992)</w:t>
            </w:r>
          </w:p>
        </w:tc>
        <w:tc>
          <w:tcPr>
            <w:tcW w:w="379" w:type="pct"/>
            <w:tcBorders>
              <w:top w:val="single" w:sz="4" w:space="0" w:color="auto"/>
              <w:left w:val="nil"/>
              <w:bottom w:val="single" w:sz="4" w:space="0" w:color="auto"/>
              <w:right w:val="single" w:sz="4" w:space="0" w:color="auto"/>
            </w:tcBorders>
            <w:shd w:val="clear" w:color="000000" w:fill="C0C0C0"/>
            <w:vAlign w:val="center"/>
          </w:tcPr>
          <w:p w:rsidR="002D4E05" w:rsidRPr="0022033A" w:rsidRDefault="002D4E05" w:rsidP="003A2CBC">
            <w:pPr>
              <w:spacing w:after="0" w:line="240" w:lineRule="auto"/>
              <w:jc w:val="right"/>
              <w:rPr>
                <w:sz w:val="20"/>
                <w:szCs w:val="20"/>
                <w:highlight w:val="yellow"/>
              </w:rPr>
            </w:pPr>
            <w:r>
              <w:rPr>
                <w:sz w:val="20"/>
                <w:szCs w:val="20"/>
              </w:rPr>
              <w:t>(4.0%)</w:t>
            </w:r>
          </w:p>
        </w:tc>
        <w:tc>
          <w:tcPr>
            <w:tcW w:w="582"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275,160</w:t>
            </w:r>
          </w:p>
        </w:tc>
        <w:tc>
          <w:tcPr>
            <w:tcW w:w="581"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(1,385,152)</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Other Agencies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315,700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816,812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786,717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(30,095)</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(3.7%)</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(30,700)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605</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Other Local Authorities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1,325,102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1,623,706</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2,030,887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407,181</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25.1%</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309,557</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97,624</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Audit &amp; Bank Charges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88,600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88,600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90,425</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1,825</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2.1%</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1,825</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3A2CBC" w:rsidRDefault="002D4E05" w:rsidP="003A2CBC">
            <w:pPr>
              <w:spacing w:after="0" w:line="240" w:lineRule="auto"/>
              <w:rPr>
                <w:sz w:val="20"/>
                <w:szCs w:val="20"/>
              </w:rPr>
            </w:pPr>
            <w:r>
              <w:rPr>
                <w:sz w:val="20"/>
                <w:szCs w:val="20"/>
              </w:rPr>
              <w:t>Total Third Party Payments</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1,729,402</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2,529,117</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2,908,028</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378,911</w:t>
            </w:r>
          </w:p>
        </w:tc>
        <w:tc>
          <w:tcPr>
            <w:tcW w:w="379" w:type="pct"/>
            <w:tcBorders>
              <w:top w:val="single" w:sz="4" w:space="0" w:color="auto"/>
              <w:left w:val="nil"/>
              <w:bottom w:val="single" w:sz="4" w:space="0" w:color="auto"/>
              <w:right w:val="single" w:sz="4" w:space="0" w:color="auto"/>
            </w:tcBorders>
            <w:shd w:val="clear" w:color="000000" w:fill="C0C0C0"/>
            <w:vAlign w:val="center"/>
          </w:tcPr>
          <w:p w:rsidR="002D4E05" w:rsidRPr="0022033A" w:rsidRDefault="002D4E05" w:rsidP="003A2CBC">
            <w:pPr>
              <w:spacing w:after="0" w:line="240" w:lineRule="auto"/>
              <w:jc w:val="right"/>
              <w:rPr>
                <w:sz w:val="20"/>
                <w:szCs w:val="20"/>
                <w:highlight w:val="yellow"/>
              </w:rPr>
            </w:pPr>
            <w:r>
              <w:rPr>
                <w:sz w:val="20"/>
                <w:szCs w:val="20"/>
              </w:rPr>
              <w:t>15.0%</w:t>
            </w:r>
          </w:p>
        </w:tc>
        <w:tc>
          <w:tcPr>
            <w:tcW w:w="582"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278,857</w:t>
            </w:r>
          </w:p>
        </w:tc>
        <w:tc>
          <w:tcPr>
            <w:tcW w:w="581"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100,054</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Debt Repayment</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5,882,000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5,882,000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5,886,534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4,534</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0.1%</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4,534</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External Interest</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3,626,000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3,626,000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3,527,473</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(98,527)</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(2.7%)</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(98,527)</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3A2CBC" w:rsidRDefault="002D4E05" w:rsidP="003A2CBC">
            <w:pPr>
              <w:spacing w:after="0" w:line="240" w:lineRule="auto"/>
              <w:rPr>
                <w:sz w:val="20"/>
                <w:szCs w:val="20"/>
              </w:rPr>
            </w:pPr>
            <w:r>
              <w:rPr>
                <w:sz w:val="20"/>
                <w:szCs w:val="20"/>
              </w:rPr>
              <w:t>Total Capital Financing Costs</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9,508,000</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9,508,000</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9,414,007</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(93,993)</w:t>
            </w:r>
          </w:p>
        </w:tc>
        <w:tc>
          <w:tcPr>
            <w:tcW w:w="379" w:type="pct"/>
            <w:tcBorders>
              <w:top w:val="single" w:sz="4" w:space="0" w:color="auto"/>
              <w:left w:val="nil"/>
              <w:bottom w:val="single" w:sz="4" w:space="0" w:color="auto"/>
              <w:right w:val="single" w:sz="4" w:space="0" w:color="auto"/>
            </w:tcBorders>
            <w:shd w:val="clear" w:color="000000" w:fill="C0C0C0"/>
            <w:vAlign w:val="center"/>
          </w:tcPr>
          <w:p w:rsidR="002D4E05" w:rsidRPr="0022033A" w:rsidRDefault="002D4E05" w:rsidP="003A2CBC">
            <w:pPr>
              <w:spacing w:after="0" w:line="240" w:lineRule="auto"/>
              <w:jc w:val="right"/>
              <w:rPr>
                <w:sz w:val="20"/>
                <w:szCs w:val="20"/>
                <w:highlight w:val="yellow"/>
              </w:rPr>
            </w:pPr>
            <w:r>
              <w:rPr>
                <w:sz w:val="20"/>
                <w:szCs w:val="20"/>
              </w:rPr>
              <w:t>(1.0%)</w:t>
            </w:r>
          </w:p>
        </w:tc>
        <w:tc>
          <w:tcPr>
            <w:tcW w:w="582"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581"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(93,993)</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3A2CBC" w:rsidRDefault="002D4E05" w:rsidP="003A2CBC">
            <w:pPr>
              <w:spacing w:after="0" w:line="240" w:lineRule="auto"/>
              <w:rPr>
                <w:sz w:val="20"/>
                <w:szCs w:val="20"/>
              </w:rPr>
            </w:pPr>
            <w:r>
              <w:rPr>
                <w:sz w:val="20"/>
                <w:szCs w:val="20"/>
              </w:rPr>
              <w:t>Central Contingency</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2,198,900</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24,023</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(24,023)</w:t>
            </w:r>
          </w:p>
        </w:tc>
        <w:tc>
          <w:tcPr>
            <w:tcW w:w="379" w:type="pct"/>
            <w:tcBorders>
              <w:top w:val="single" w:sz="4" w:space="0" w:color="auto"/>
              <w:left w:val="nil"/>
              <w:bottom w:val="single" w:sz="4" w:space="0" w:color="auto"/>
              <w:right w:val="single" w:sz="4" w:space="0" w:color="auto"/>
            </w:tcBorders>
            <w:shd w:val="clear" w:color="000000" w:fill="C0C0C0"/>
            <w:vAlign w:val="center"/>
          </w:tcPr>
          <w:p w:rsidR="002D4E05" w:rsidRPr="0022033A" w:rsidRDefault="002D4E05" w:rsidP="003A2CBC">
            <w:pPr>
              <w:spacing w:after="0" w:line="240" w:lineRule="auto"/>
              <w:jc w:val="right"/>
              <w:rPr>
                <w:sz w:val="20"/>
                <w:szCs w:val="20"/>
                <w:highlight w:val="yellow"/>
              </w:rPr>
            </w:pPr>
            <w:r>
              <w:rPr>
                <w:sz w:val="20"/>
                <w:szCs w:val="20"/>
              </w:rPr>
              <w:t>(100.0%)</w:t>
            </w:r>
          </w:p>
        </w:tc>
        <w:tc>
          <w:tcPr>
            <w:tcW w:w="582"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w:t>
            </w:r>
          </w:p>
        </w:tc>
        <w:tc>
          <w:tcPr>
            <w:tcW w:w="581"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(24,025)</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3A2CBC" w:rsidRDefault="002D4E05" w:rsidP="003A2CBC">
            <w:pPr>
              <w:spacing w:after="0" w:line="240" w:lineRule="auto"/>
              <w:rPr>
                <w:b/>
                <w:bCs/>
                <w:sz w:val="20"/>
                <w:szCs w:val="20"/>
              </w:rPr>
            </w:pPr>
            <w:r>
              <w:rPr>
                <w:b/>
                <w:bCs/>
                <w:sz w:val="20"/>
                <w:szCs w:val="20"/>
              </w:rPr>
              <w:t>Total revenue expenditure</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425,448,344</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427,889,329</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417,849,748</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color w:val="000000"/>
                <w:sz w:val="20"/>
                <w:szCs w:val="20"/>
              </w:rPr>
              <w:t>(10,039,582)</w:t>
            </w:r>
          </w:p>
        </w:tc>
        <w:tc>
          <w:tcPr>
            <w:tcW w:w="379" w:type="pct"/>
            <w:tcBorders>
              <w:top w:val="single" w:sz="4" w:space="0" w:color="auto"/>
              <w:left w:val="nil"/>
              <w:bottom w:val="single" w:sz="4" w:space="0" w:color="auto"/>
              <w:right w:val="single" w:sz="4" w:space="0" w:color="auto"/>
            </w:tcBorders>
            <w:shd w:val="clear" w:color="000000" w:fill="C0C0C0"/>
            <w:vAlign w:val="center"/>
          </w:tcPr>
          <w:p w:rsidR="002D4E05" w:rsidRPr="0022033A" w:rsidRDefault="002D4E05" w:rsidP="003A2CBC">
            <w:pPr>
              <w:spacing w:after="0" w:line="240" w:lineRule="auto"/>
              <w:jc w:val="right"/>
              <w:rPr>
                <w:b/>
                <w:bCs/>
                <w:color w:val="000000"/>
                <w:sz w:val="20"/>
                <w:szCs w:val="20"/>
                <w:highlight w:val="yellow"/>
              </w:rPr>
            </w:pPr>
            <w:r>
              <w:rPr>
                <w:b/>
                <w:bCs/>
                <w:sz w:val="20"/>
                <w:szCs w:val="20"/>
              </w:rPr>
              <w:t>(2.3%)</w:t>
            </w:r>
          </w:p>
        </w:tc>
        <w:tc>
          <w:tcPr>
            <w:tcW w:w="582"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color w:val="000000"/>
                <w:sz w:val="20"/>
                <w:szCs w:val="20"/>
              </w:rPr>
              <w:t>(4,206,746)</w:t>
            </w:r>
          </w:p>
        </w:tc>
        <w:tc>
          <w:tcPr>
            <w:tcW w:w="581"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color w:val="000000"/>
                <w:sz w:val="20"/>
                <w:szCs w:val="20"/>
              </w:rPr>
              <w:t>(5,832,835)</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MFB Act Income</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(25,595,000)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(25,595,000)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(26,411,400)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(816,400)</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3.2%</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(789,899)</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(26,501)</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Customer and Client Receipts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(8,381,538)</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(9,922,801)</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(11,327,724)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(1,404,922)</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14.2%</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182,471</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(1,587,393)</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Interest Receivable</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(595,000)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(595,000)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(446,872)</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148,128</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(24.9%)</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195,000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(46,872)</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Bad Debts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(91,264)</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(91,264)</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0.0%</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(91,264)</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3A2CBC" w:rsidRDefault="002D4E05" w:rsidP="003A2CBC">
            <w:pPr>
              <w:spacing w:after="0" w:line="240" w:lineRule="auto"/>
              <w:rPr>
                <w:sz w:val="20"/>
                <w:szCs w:val="20"/>
              </w:rPr>
            </w:pPr>
            <w:r>
              <w:rPr>
                <w:sz w:val="20"/>
                <w:szCs w:val="20"/>
              </w:rPr>
              <w:t>Total Other Income</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(34,571,538)</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(36,112,801)</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(38,277,260)</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(2,164,458)</w:t>
            </w:r>
          </w:p>
        </w:tc>
        <w:tc>
          <w:tcPr>
            <w:tcW w:w="379" w:type="pct"/>
            <w:tcBorders>
              <w:top w:val="single" w:sz="4" w:space="0" w:color="auto"/>
              <w:left w:val="nil"/>
              <w:bottom w:val="single" w:sz="4" w:space="0" w:color="auto"/>
              <w:right w:val="single" w:sz="4" w:space="0" w:color="auto"/>
            </w:tcBorders>
            <w:shd w:val="clear" w:color="000000" w:fill="C0C0C0"/>
            <w:vAlign w:val="center"/>
          </w:tcPr>
          <w:p w:rsidR="002D4E05" w:rsidRPr="0022033A" w:rsidRDefault="002D4E05" w:rsidP="003A2CBC">
            <w:pPr>
              <w:spacing w:after="0" w:line="240" w:lineRule="auto"/>
              <w:jc w:val="right"/>
              <w:rPr>
                <w:sz w:val="20"/>
                <w:szCs w:val="20"/>
                <w:highlight w:val="yellow"/>
              </w:rPr>
            </w:pPr>
            <w:r>
              <w:rPr>
                <w:sz w:val="20"/>
                <w:szCs w:val="20"/>
              </w:rPr>
              <w:t>6.0%</w:t>
            </w:r>
          </w:p>
        </w:tc>
        <w:tc>
          <w:tcPr>
            <w:tcW w:w="582"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(412,428)</w:t>
            </w:r>
          </w:p>
        </w:tc>
        <w:tc>
          <w:tcPr>
            <w:tcW w:w="581"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sz w:val="20"/>
                <w:szCs w:val="20"/>
                <w:highlight w:val="yellow"/>
              </w:rPr>
            </w:pPr>
            <w:r>
              <w:rPr>
                <w:sz w:val="20"/>
                <w:szCs w:val="20"/>
              </w:rPr>
              <w:t>(1,752,030)</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3A2CBC" w:rsidRDefault="002D4E05" w:rsidP="003A2CBC">
            <w:pPr>
              <w:spacing w:after="0" w:line="240" w:lineRule="auto"/>
              <w:rPr>
                <w:b/>
                <w:bCs/>
                <w:sz w:val="20"/>
                <w:szCs w:val="20"/>
              </w:rPr>
            </w:pPr>
            <w:r>
              <w:rPr>
                <w:b/>
                <w:bCs/>
                <w:sz w:val="20"/>
                <w:szCs w:val="20"/>
              </w:rPr>
              <w:t>Net revenue expenditure</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390,876,806</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391,776,528</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379,572,488</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color w:val="000000"/>
                <w:sz w:val="20"/>
                <w:szCs w:val="20"/>
              </w:rPr>
              <w:t>(12,204,040)</w:t>
            </w:r>
          </w:p>
        </w:tc>
        <w:tc>
          <w:tcPr>
            <w:tcW w:w="379" w:type="pct"/>
            <w:tcBorders>
              <w:top w:val="single" w:sz="4" w:space="0" w:color="auto"/>
              <w:left w:val="nil"/>
              <w:bottom w:val="single" w:sz="4" w:space="0" w:color="auto"/>
              <w:right w:val="single" w:sz="4" w:space="0" w:color="auto"/>
            </w:tcBorders>
            <w:shd w:val="clear" w:color="000000" w:fill="C0C0C0"/>
            <w:vAlign w:val="center"/>
          </w:tcPr>
          <w:p w:rsidR="002D4E05" w:rsidRPr="0022033A" w:rsidRDefault="002D4E05" w:rsidP="003A2CBC">
            <w:pPr>
              <w:spacing w:after="0" w:line="240" w:lineRule="auto"/>
              <w:jc w:val="right"/>
              <w:rPr>
                <w:b/>
                <w:bCs/>
                <w:color w:val="000000"/>
                <w:sz w:val="20"/>
                <w:szCs w:val="20"/>
                <w:highlight w:val="yellow"/>
              </w:rPr>
            </w:pPr>
            <w:r>
              <w:rPr>
                <w:b/>
                <w:bCs/>
                <w:sz w:val="20"/>
                <w:szCs w:val="20"/>
              </w:rPr>
              <w:t>(3.1%)</w:t>
            </w:r>
          </w:p>
        </w:tc>
        <w:tc>
          <w:tcPr>
            <w:tcW w:w="582"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color w:val="000000"/>
                <w:sz w:val="20"/>
                <w:szCs w:val="20"/>
              </w:rPr>
              <w:t>(4,619,174)</w:t>
            </w:r>
          </w:p>
        </w:tc>
        <w:tc>
          <w:tcPr>
            <w:tcW w:w="581"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color w:val="000000"/>
                <w:sz w:val="20"/>
                <w:szCs w:val="20"/>
              </w:rPr>
              <w:t>(7,584,866)</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r>
      <w:tr w:rsidR="002D4E05" w:rsidRPr="003A2CBC" w:rsidTr="007A1AC6">
        <w:trPr>
          <w:trHeight w:val="255"/>
          <w:jc w:val="center"/>
        </w:trPr>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Use of Earmarked Reserves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3,748,957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4,376,409</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4,946,963</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570,554</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13.0%</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570,554</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3A2CBC" w:rsidRDefault="002D4E05" w:rsidP="003A2CBC">
            <w:pPr>
              <w:spacing w:after="0" w:line="240" w:lineRule="auto"/>
              <w:rPr>
                <w:b/>
                <w:bCs/>
                <w:sz w:val="20"/>
                <w:szCs w:val="20"/>
              </w:rPr>
            </w:pPr>
            <w:r>
              <w:rPr>
                <w:b/>
                <w:bCs/>
                <w:sz w:val="20"/>
                <w:szCs w:val="20"/>
              </w:rPr>
              <w:t>Financing Requirement</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394,625,763</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396,152,937</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384,519,451</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(11,633,486)</w:t>
            </w:r>
          </w:p>
        </w:tc>
        <w:tc>
          <w:tcPr>
            <w:tcW w:w="379" w:type="pct"/>
            <w:tcBorders>
              <w:top w:val="single" w:sz="4" w:space="0" w:color="auto"/>
              <w:left w:val="nil"/>
              <w:bottom w:val="single" w:sz="4" w:space="0" w:color="auto"/>
              <w:right w:val="single" w:sz="4" w:space="0" w:color="auto"/>
            </w:tcBorders>
            <w:shd w:val="clear" w:color="000000" w:fill="C0C0C0"/>
            <w:vAlign w:val="center"/>
          </w:tcPr>
          <w:p w:rsidR="002D4E05" w:rsidRPr="0022033A" w:rsidRDefault="002D4E05" w:rsidP="003A2CBC">
            <w:pPr>
              <w:spacing w:after="0" w:line="240" w:lineRule="auto"/>
              <w:jc w:val="right"/>
              <w:rPr>
                <w:b/>
                <w:bCs/>
                <w:sz w:val="20"/>
                <w:szCs w:val="20"/>
                <w:highlight w:val="yellow"/>
              </w:rPr>
            </w:pPr>
            <w:r>
              <w:rPr>
                <w:b/>
                <w:bCs/>
                <w:sz w:val="20"/>
                <w:szCs w:val="20"/>
              </w:rPr>
              <w:t>(2.9%)</w:t>
            </w:r>
          </w:p>
        </w:tc>
        <w:tc>
          <w:tcPr>
            <w:tcW w:w="582"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(4,619,174)</w:t>
            </w:r>
          </w:p>
        </w:tc>
        <w:tc>
          <w:tcPr>
            <w:tcW w:w="581"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(7,014,312)</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Financed by:</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Specific grants</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(12,225,763)</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(13,752,937)</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(13,997,403)</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(244,466)</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1.8%</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(110,717)</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(133,749)</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GLA Grant</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(382,400,000)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(382,400,000)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(382,400,000)</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jc w:val="right"/>
              <w:rPr>
                <w:sz w:val="20"/>
                <w:szCs w:val="20"/>
                <w:highlight w:val="yellow"/>
              </w:rPr>
            </w:pPr>
            <w:r>
              <w:rPr>
                <w:sz w:val="20"/>
                <w:szCs w:val="20"/>
              </w:rPr>
              <w:t>0.0%</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jc w:val="right"/>
              <w:rPr>
                <w:sz w:val="20"/>
                <w:szCs w:val="20"/>
                <w:highlight w:val="yellow"/>
              </w:rPr>
            </w:pPr>
            <w:r>
              <w:rPr>
                <w:sz w:val="20"/>
                <w:szCs w:val="20"/>
              </w:rPr>
              <w:t>0</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2D4E05" w:rsidRPr="003A2CBC" w:rsidRDefault="002D4E05" w:rsidP="003A2CBC">
            <w:pPr>
              <w:spacing w:after="0" w:line="240" w:lineRule="auto"/>
              <w:rPr>
                <w:sz w:val="20"/>
                <w:szCs w:val="20"/>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379" w:type="pct"/>
            <w:tcBorders>
              <w:top w:val="single" w:sz="4" w:space="0" w:color="auto"/>
              <w:left w:val="nil"/>
              <w:bottom w:val="single" w:sz="4" w:space="0" w:color="auto"/>
              <w:right w:val="single" w:sz="4" w:space="0" w:color="auto"/>
            </w:tcBorders>
            <w:vAlign w:val="center"/>
          </w:tcPr>
          <w:p w:rsidR="002D4E05" w:rsidRPr="0022033A" w:rsidRDefault="002D4E05" w:rsidP="003A2CBC">
            <w:pPr>
              <w:spacing w:after="0" w:line="240" w:lineRule="auto"/>
              <w:rPr>
                <w:sz w:val="20"/>
                <w:szCs w:val="20"/>
                <w:highlight w:val="yellow"/>
              </w:rPr>
            </w:pPr>
            <w:r>
              <w:rPr>
                <w:sz w:val="20"/>
                <w:szCs w:val="20"/>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c>
          <w:tcPr>
            <w:tcW w:w="581" w:type="pct"/>
            <w:tcBorders>
              <w:top w:val="nil"/>
              <w:left w:val="nil"/>
              <w:bottom w:val="single" w:sz="4" w:space="0" w:color="auto"/>
              <w:right w:val="single" w:sz="4" w:space="0" w:color="auto"/>
            </w:tcBorders>
            <w:shd w:val="clear" w:color="auto" w:fill="auto"/>
            <w:noWrap/>
            <w:vAlign w:val="center"/>
            <w:hideMark/>
          </w:tcPr>
          <w:p w:rsidR="002D4E05" w:rsidRPr="0022033A" w:rsidRDefault="002D4E05" w:rsidP="003A2CBC">
            <w:pPr>
              <w:spacing w:after="0" w:line="240" w:lineRule="auto"/>
              <w:rPr>
                <w:sz w:val="20"/>
                <w:szCs w:val="20"/>
                <w:highlight w:val="yellow"/>
              </w:rPr>
            </w:pPr>
            <w:r>
              <w:rPr>
                <w:sz w:val="20"/>
                <w:szCs w:val="20"/>
              </w:rPr>
              <w:t> </w:t>
            </w:r>
          </w:p>
        </w:tc>
      </w:tr>
      <w:tr w:rsidR="002D4E05" w:rsidRPr="003A2CBC" w:rsidTr="007A1AC6">
        <w:trPr>
          <w:trHeight w:val="255"/>
          <w:jc w:val="center"/>
        </w:trPr>
        <w:tc>
          <w:tcPr>
            <w:tcW w:w="1130"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3A2CBC" w:rsidRDefault="002D4E05" w:rsidP="003A2CBC">
            <w:pPr>
              <w:spacing w:after="0" w:line="240" w:lineRule="auto"/>
              <w:rPr>
                <w:b/>
                <w:bCs/>
                <w:sz w:val="20"/>
                <w:szCs w:val="20"/>
              </w:rPr>
            </w:pPr>
            <w:r>
              <w:rPr>
                <w:b/>
                <w:bCs/>
                <w:sz w:val="20"/>
                <w:szCs w:val="20"/>
              </w:rPr>
              <w:t>Net Financial Position</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0</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0</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(11,877,952)</w:t>
            </w:r>
          </w:p>
        </w:tc>
        <w:tc>
          <w:tcPr>
            <w:tcW w:w="582"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(11,877,952)</w:t>
            </w:r>
          </w:p>
        </w:tc>
        <w:tc>
          <w:tcPr>
            <w:tcW w:w="379" w:type="pct"/>
            <w:tcBorders>
              <w:top w:val="single" w:sz="4" w:space="0" w:color="auto"/>
              <w:left w:val="nil"/>
              <w:bottom w:val="single" w:sz="4" w:space="0" w:color="auto"/>
              <w:right w:val="single" w:sz="4" w:space="0" w:color="auto"/>
            </w:tcBorders>
            <w:shd w:val="clear" w:color="000000" w:fill="C0C0C0"/>
            <w:vAlign w:val="center"/>
          </w:tcPr>
          <w:p w:rsidR="002D4E05" w:rsidRPr="0022033A" w:rsidRDefault="002D4E05" w:rsidP="003A2CBC">
            <w:pPr>
              <w:spacing w:after="0" w:line="240" w:lineRule="auto"/>
              <w:jc w:val="right"/>
              <w:rPr>
                <w:b/>
                <w:bCs/>
                <w:sz w:val="20"/>
                <w:szCs w:val="20"/>
                <w:highlight w:val="yellow"/>
              </w:rPr>
            </w:pPr>
            <w:r>
              <w:rPr>
                <w:b/>
                <w:bCs/>
                <w:sz w:val="20"/>
                <w:szCs w:val="20"/>
              </w:rPr>
              <w:t>0.0%</w:t>
            </w:r>
          </w:p>
        </w:tc>
        <w:tc>
          <w:tcPr>
            <w:tcW w:w="582" w:type="pct"/>
            <w:tcBorders>
              <w:top w:val="nil"/>
              <w:left w:val="single" w:sz="4" w:space="0" w:color="auto"/>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(4,729,891)</w:t>
            </w:r>
          </w:p>
        </w:tc>
        <w:tc>
          <w:tcPr>
            <w:tcW w:w="581" w:type="pct"/>
            <w:tcBorders>
              <w:top w:val="nil"/>
              <w:left w:val="nil"/>
              <w:bottom w:val="single" w:sz="4" w:space="0" w:color="auto"/>
              <w:right w:val="single" w:sz="4" w:space="0" w:color="auto"/>
            </w:tcBorders>
            <w:shd w:val="clear" w:color="000000" w:fill="C0C0C0"/>
            <w:noWrap/>
            <w:vAlign w:val="center"/>
            <w:hideMark/>
          </w:tcPr>
          <w:p w:rsidR="002D4E05" w:rsidRPr="0022033A" w:rsidRDefault="002D4E05" w:rsidP="003A2CBC">
            <w:pPr>
              <w:spacing w:after="0" w:line="240" w:lineRule="auto"/>
              <w:jc w:val="right"/>
              <w:rPr>
                <w:b/>
                <w:bCs/>
                <w:sz w:val="20"/>
                <w:szCs w:val="20"/>
                <w:highlight w:val="yellow"/>
              </w:rPr>
            </w:pPr>
            <w:r>
              <w:rPr>
                <w:b/>
                <w:bCs/>
                <w:sz w:val="20"/>
                <w:szCs w:val="20"/>
              </w:rPr>
              <w:t>(7,148,061)</w:t>
            </w:r>
          </w:p>
        </w:tc>
      </w:tr>
    </w:tbl>
    <w:p w:rsidR="008F25D4" w:rsidRDefault="008F25D4" w:rsidP="000632F7">
      <w:pPr>
        <w:sectPr w:rsidR="008F25D4" w:rsidSect="003C4168">
          <w:headerReference w:type="default" r:id="rId21"/>
          <w:pgSz w:w="16840" w:h="11907" w:orient="landscape" w:code="9"/>
          <w:pgMar w:top="1134" w:right="1361" w:bottom="1134" w:left="1361" w:header="709" w:footer="476"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5"/>
        <w:gridCol w:w="1267"/>
        <w:gridCol w:w="1127"/>
        <w:gridCol w:w="1127"/>
        <w:gridCol w:w="236"/>
        <w:gridCol w:w="1175"/>
        <w:gridCol w:w="980"/>
        <w:gridCol w:w="304"/>
        <w:gridCol w:w="1101"/>
        <w:gridCol w:w="1127"/>
        <w:gridCol w:w="2265"/>
      </w:tblGrid>
      <w:tr w:rsidR="00703CEA" w:rsidTr="00BF2301">
        <w:trPr>
          <w:cantSplit/>
          <w:trHeight w:val="20"/>
          <w:tblHeader/>
        </w:trPr>
        <w:tc>
          <w:tcPr>
            <w:tcW w:w="12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CEA" w:rsidRDefault="00703CEA" w:rsidP="00703CEA">
            <w:pPr>
              <w:spacing w:before="40" w:after="40"/>
              <w:rPr>
                <w:b/>
                <w:bCs/>
                <w:sz w:val="20"/>
                <w:szCs w:val="20"/>
              </w:rPr>
            </w:pPr>
            <w:r>
              <w:rPr>
                <w:sz w:val="20"/>
                <w:szCs w:val="20"/>
              </w:rPr>
              <w:br w:type="page"/>
            </w:r>
            <w:r>
              <w:rPr>
                <w:sz w:val="20"/>
                <w:szCs w:val="20"/>
              </w:rPr>
              <w:br w:type="page"/>
            </w:r>
          </w:p>
        </w:tc>
        <w:tc>
          <w:tcPr>
            <w:tcW w:w="442" w:type="pct"/>
            <w:tcBorders>
              <w:top w:val="single" w:sz="4" w:space="0" w:color="auto"/>
              <w:left w:val="single" w:sz="4" w:space="0" w:color="auto"/>
              <w:bottom w:val="single" w:sz="4" w:space="0" w:color="auto"/>
              <w:right w:val="single" w:sz="4" w:space="0" w:color="auto"/>
            </w:tcBorders>
            <w:shd w:val="clear" w:color="auto" w:fill="auto"/>
            <w:hideMark/>
          </w:tcPr>
          <w:p w:rsidR="00703CEA" w:rsidRDefault="00703CEA">
            <w:pPr>
              <w:spacing w:before="40" w:after="40"/>
              <w:rPr>
                <w:b/>
                <w:bCs/>
                <w:sz w:val="20"/>
                <w:szCs w:val="20"/>
              </w:rPr>
            </w:pPr>
            <w:r>
              <w:rPr>
                <w:b/>
                <w:bCs/>
                <w:sz w:val="20"/>
                <w:szCs w:val="20"/>
              </w:rPr>
              <w:t xml:space="preserve">2017-18 Capital Budget </w:t>
            </w:r>
          </w:p>
          <w:p w:rsidR="00703CEA" w:rsidRDefault="00703CEA">
            <w:pPr>
              <w:spacing w:before="40" w:after="40"/>
              <w:rPr>
                <w:b/>
                <w:bCs/>
                <w:sz w:val="20"/>
                <w:szCs w:val="20"/>
              </w:rPr>
            </w:pPr>
            <w:r>
              <w:rPr>
                <w:b/>
                <w:bCs/>
                <w:sz w:val="20"/>
                <w:szCs w:val="20"/>
              </w:rPr>
              <w:t>July 17</w:t>
            </w:r>
          </w:p>
          <w:p w:rsidR="00703CEA" w:rsidRDefault="00703CEA">
            <w:pPr>
              <w:spacing w:before="40" w:after="40"/>
              <w:rPr>
                <w:b/>
                <w:bCs/>
                <w:sz w:val="20"/>
                <w:szCs w:val="20"/>
              </w:rPr>
            </w:pPr>
            <w:r>
              <w:rPr>
                <w:b/>
                <w:bCs/>
                <w:sz w:val="20"/>
                <w:szCs w:val="20"/>
              </w:rPr>
              <w:t>Resources</w:t>
            </w: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703CEA" w:rsidRDefault="00703CEA">
            <w:pPr>
              <w:spacing w:before="40" w:after="40"/>
              <w:rPr>
                <w:b/>
                <w:bCs/>
                <w:sz w:val="20"/>
                <w:szCs w:val="20"/>
              </w:rPr>
            </w:pPr>
            <w:r>
              <w:rPr>
                <w:b/>
                <w:bCs/>
                <w:sz w:val="20"/>
                <w:szCs w:val="20"/>
              </w:rPr>
              <w:t xml:space="preserve">Outturn 2017/18  </w:t>
            </w:r>
          </w:p>
          <w:p w:rsidR="00703CEA" w:rsidRDefault="00703CEA">
            <w:pPr>
              <w:spacing w:before="40" w:after="40"/>
              <w:rPr>
                <w:b/>
                <w:bCs/>
                <w:sz w:val="20"/>
                <w:szCs w:val="20"/>
              </w:rPr>
            </w:pPr>
          </w:p>
        </w:tc>
        <w:tc>
          <w:tcPr>
            <w:tcW w:w="393" w:type="pct"/>
            <w:tcBorders>
              <w:top w:val="single" w:sz="4" w:space="0" w:color="auto"/>
              <w:left w:val="single" w:sz="4" w:space="0" w:color="auto"/>
              <w:bottom w:val="single" w:sz="4" w:space="0" w:color="auto"/>
              <w:right w:val="single" w:sz="4" w:space="0" w:color="auto"/>
            </w:tcBorders>
            <w:shd w:val="clear" w:color="auto" w:fill="auto"/>
            <w:hideMark/>
          </w:tcPr>
          <w:p w:rsidR="00703CEA" w:rsidRDefault="00703CEA">
            <w:pPr>
              <w:spacing w:before="40" w:after="40"/>
              <w:rPr>
                <w:b/>
                <w:bCs/>
                <w:sz w:val="20"/>
                <w:szCs w:val="20"/>
              </w:rPr>
            </w:pPr>
            <w:r>
              <w:rPr>
                <w:b/>
                <w:bCs/>
                <w:sz w:val="20"/>
                <w:szCs w:val="20"/>
              </w:rPr>
              <w:t>Variance</w:t>
            </w:r>
          </w:p>
        </w:tc>
        <w:tc>
          <w:tcPr>
            <w:tcW w:w="82" w:type="pct"/>
            <w:tcBorders>
              <w:top w:val="single" w:sz="4" w:space="0" w:color="auto"/>
              <w:left w:val="single" w:sz="4" w:space="0" w:color="auto"/>
              <w:bottom w:val="single" w:sz="4" w:space="0" w:color="auto"/>
              <w:right w:val="single" w:sz="4" w:space="0" w:color="auto"/>
            </w:tcBorders>
            <w:shd w:val="clear" w:color="auto" w:fill="auto"/>
          </w:tcPr>
          <w:p w:rsidR="00703CEA" w:rsidRDefault="00703CEA">
            <w:pPr>
              <w:spacing w:before="40" w:after="40"/>
              <w:rPr>
                <w:b/>
                <w:bCs/>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auto"/>
            <w:hideMark/>
          </w:tcPr>
          <w:p w:rsidR="00703CEA" w:rsidRDefault="00703CEA">
            <w:pPr>
              <w:spacing w:before="40" w:after="40"/>
              <w:rPr>
                <w:b/>
                <w:bCs/>
                <w:sz w:val="20"/>
                <w:szCs w:val="20"/>
              </w:rPr>
            </w:pPr>
            <w:r>
              <w:rPr>
                <w:b/>
                <w:bCs/>
                <w:sz w:val="20"/>
                <w:szCs w:val="20"/>
              </w:rPr>
              <w:t>Last position 2017/18</w:t>
            </w:r>
          </w:p>
          <w:p w:rsidR="00703CEA" w:rsidRDefault="00703CEA">
            <w:pPr>
              <w:spacing w:before="40" w:after="40"/>
              <w:rPr>
                <w:b/>
                <w:bCs/>
                <w:sz w:val="20"/>
                <w:szCs w:val="20"/>
              </w:rPr>
            </w:pPr>
            <w:r>
              <w:rPr>
                <w:b/>
                <w:bCs/>
                <w:sz w:val="20"/>
                <w:szCs w:val="20"/>
              </w:rPr>
              <w:t>Q</w:t>
            </w:r>
            <w:r w:rsidR="00BF2301">
              <w:rPr>
                <w:b/>
                <w:bCs/>
                <w:sz w:val="20"/>
                <w:szCs w:val="20"/>
              </w:rPr>
              <w:t>uarter</w:t>
            </w:r>
            <w:r>
              <w:rPr>
                <w:b/>
                <w:bCs/>
                <w:sz w:val="20"/>
                <w:szCs w:val="20"/>
              </w:rPr>
              <w:t xml:space="preserve"> 3</w:t>
            </w:r>
          </w:p>
          <w:p w:rsidR="00703CEA" w:rsidRDefault="00BF2301">
            <w:pPr>
              <w:spacing w:before="40" w:after="40"/>
              <w:rPr>
                <w:b/>
                <w:bCs/>
                <w:sz w:val="20"/>
                <w:szCs w:val="20"/>
              </w:rPr>
            </w:pPr>
            <w:r>
              <w:rPr>
                <w:b/>
                <w:bCs/>
                <w:sz w:val="20"/>
                <w:szCs w:val="20"/>
              </w:rPr>
              <w:t>FEP2709</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703CEA" w:rsidRDefault="00703CEA">
            <w:pPr>
              <w:spacing w:before="40" w:after="40"/>
              <w:rPr>
                <w:b/>
                <w:bCs/>
                <w:sz w:val="20"/>
                <w:szCs w:val="20"/>
              </w:rPr>
            </w:pPr>
            <w:r>
              <w:rPr>
                <w:b/>
                <w:bCs/>
                <w:sz w:val="20"/>
                <w:szCs w:val="20"/>
              </w:rPr>
              <w:t>Variance</w:t>
            </w:r>
          </w:p>
        </w:tc>
        <w:tc>
          <w:tcPr>
            <w:tcW w:w="106" w:type="pct"/>
            <w:tcBorders>
              <w:top w:val="single" w:sz="4" w:space="0" w:color="auto"/>
              <w:left w:val="single" w:sz="4" w:space="0" w:color="auto"/>
              <w:bottom w:val="single" w:sz="4" w:space="0" w:color="auto"/>
              <w:right w:val="single" w:sz="4" w:space="0" w:color="auto"/>
            </w:tcBorders>
            <w:shd w:val="clear" w:color="auto" w:fill="auto"/>
          </w:tcPr>
          <w:p w:rsidR="00703CEA" w:rsidRDefault="00703CEA">
            <w:pPr>
              <w:spacing w:before="40" w:after="40"/>
              <w:rPr>
                <w:b/>
                <w:bCs/>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auto"/>
            <w:hideMark/>
          </w:tcPr>
          <w:p w:rsidR="00703CEA" w:rsidRDefault="00703CEA">
            <w:pPr>
              <w:spacing w:before="40" w:after="40"/>
              <w:rPr>
                <w:b/>
                <w:bCs/>
                <w:sz w:val="20"/>
                <w:szCs w:val="20"/>
              </w:rPr>
            </w:pPr>
            <w:r>
              <w:rPr>
                <w:b/>
                <w:bCs/>
                <w:sz w:val="20"/>
                <w:szCs w:val="20"/>
              </w:rPr>
              <w:t>Savings/ Budget transfer</w:t>
            </w:r>
          </w:p>
        </w:tc>
        <w:tc>
          <w:tcPr>
            <w:tcW w:w="393" w:type="pct"/>
            <w:tcBorders>
              <w:top w:val="single" w:sz="4" w:space="0" w:color="auto"/>
              <w:left w:val="single" w:sz="4" w:space="0" w:color="auto"/>
              <w:bottom w:val="single" w:sz="4" w:space="0" w:color="auto"/>
              <w:right w:val="single" w:sz="4" w:space="0" w:color="auto"/>
            </w:tcBorders>
            <w:shd w:val="clear" w:color="auto" w:fill="auto"/>
            <w:hideMark/>
          </w:tcPr>
          <w:p w:rsidR="00703CEA" w:rsidRDefault="00703CEA">
            <w:pPr>
              <w:spacing w:before="40" w:after="40"/>
              <w:jc w:val="right"/>
              <w:rPr>
                <w:b/>
                <w:bCs/>
                <w:sz w:val="20"/>
                <w:szCs w:val="20"/>
              </w:rPr>
            </w:pPr>
            <w:r>
              <w:rPr>
                <w:b/>
                <w:bCs/>
                <w:sz w:val="20"/>
                <w:szCs w:val="20"/>
              </w:rPr>
              <w:t>Tr</w:t>
            </w:r>
            <w:r w:rsidR="00BF2301">
              <w:rPr>
                <w:b/>
                <w:bCs/>
                <w:sz w:val="20"/>
                <w:szCs w:val="20"/>
              </w:rPr>
              <w:t>ans</w:t>
            </w:r>
            <w:r>
              <w:rPr>
                <w:b/>
                <w:bCs/>
                <w:sz w:val="20"/>
                <w:szCs w:val="20"/>
              </w:rPr>
              <w:t>f</w:t>
            </w:r>
            <w:r w:rsidR="00BF2301">
              <w:rPr>
                <w:b/>
                <w:bCs/>
                <w:sz w:val="20"/>
                <w:szCs w:val="20"/>
              </w:rPr>
              <w:t xml:space="preserve">er </w:t>
            </w:r>
            <w:r>
              <w:rPr>
                <w:b/>
                <w:bCs/>
                <w:sz w:val="20"/>
                <w:szCs w:val="20"/>
              </w:rPr>
              <w:t>to 2018/19 and later years</w:t>
            </w:r>
          </w:p>
        </w:tc>
        <w:tc>
          <w:tcPr>
            <w:tcW w:w="790" w:type="pct"/>
            <w:tcBorders>
              <w:top w:val="single" w:sz="4" w:space="0" w:color="auto"/>
              <w:left w:val="single" w:sz="4" w:space="0" w:color="auto"/>
              <w:bottom w:val="single" w:sz="4" w:space="0" w:color="auto"/>
              <w:right w:val="single" w:sz="4" w:space="0" w:color="auto"/>
            </w:tcBorders>
            <w:shd w:val="clear" w:color="auto" w:fill="auto"/>
            <w:hideMark/>
          </w:tcPr>
          <w:p w:rsidR="00703CEA" w:rsidRDefault="00703CEA">
            <w:pPr>
              <w:spacing w:before="40" w:after="40"/>
              <w:rPr>
                <w:b/>
                <w:bCs/>
                <w:sz w:val="20"/>
                <w:szCs w:val="20"/>
              </w:rPr>
            </w:pPr>
            <w:r>
              <w:rPr>
                <w:b/>
                <w:bCs/>
                <w:sz w:val="20"/>
                <w:szCs w:val="20"/>
              </w:rPr>
              <w:t>Notes</w:t>
            </w:r>
          </w:p>
        </w:tc>
      </w:tr>
      <w:tr w:rsidR="00703CEA" w:rsidTr="00BF2301">
        <w:trPr>
          <w:cantSplit/>
          <w:trHeight w:val="20"/>
        </w:trPr>
        <w:tc>
          <w:tcPr>
            <w:tcW w:w="1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CEA" w:rsidRDefault="00703CEA">
            <w:pPr>
              <w:spacing w:before="40" w:after="40"/>
              <w:rPr>
                <w:b/>
                <w:bCs/>
                <w:sz w:val="20"/>
                <w:szCs w:val="20"/>
              </w:rPr>
            </w:pPr>
            <w:r>
              <w:rPr>
                <w:b/>
                <w:bCs/>
                <w:sz w:val="20"/>
                <w:szCs w:val="20"/>
              </w:rPr>
              <w:t>ICT Projects</w:t>
            </w:r>
          </w:p>
        </w:tc>
        <w:tc>
          <w:tcPr>
            <w:tcW w:w="442" w:type="pct"/>
            <w:tcBorders>
              <w:top w:val="single" w:sz="4" w:space="0" w:color="auto"/>
              <w:left w:val="single" w:sz="4" w:space="0" w:color="auto"/>
              <w:bottom w:val="single" w:sz="4" w:space="0" w:color="auto"/>
              <w:right w:val="single" w:sz="4" w:space="0" w:color="auto"/>
            </w:tcBorders>
            <w:shd w:val="clear" w:color="auto" w:fill="auto"/>
            <w:hideMark/>
          </w:tcPr>
          <w:p w:rsidR="00703CEA" w:rsidRDefault="00703CEA">
            <w:pPr>
              <w:spacing w:before="40" w:after="40"/>
              <w:jc w:val="right"/>
              <w:rPr>
                <w:b/>
                <w:bCs/>
                <w:sz w:val="20"/>
                <w:szCs w:val="20"/>
              </w:rPr>
            </w:pPr>
            <w:r>
              <w:rPr>
                <w:b/>
                <w:bCs/>
                <w:sz w:val="20"/>
                <w:szCs w:val="20"/>
              </w:rPr>
              <w:t>£’000s</w:t>
            </w:r>
          </w:p>
        </w:tc>
        <w:tc>
          <w:tcPr>
            <w:tcW w:w="393" w:type="pct"/>
            <w:tcBorders>
              <w:top w:val="single" w:sz="4" w:space="0" w:color="auto"/>
              <w:left w:val="single" w:sz="4" w:space="0" w:color="auto"/>
              <w:bottom w:val="single" w:sz="4" w:space="0" w:color="auto"/>
              <w:right w:val="single" w:sz="4" w:space="0" w:color="auto"/>
            </w:tcBorders>
            <w:shd w:val="clear" w:color="auto" w:fill="auto"/>
            <w:hideMark/>
          </w:tcPr>
          <w:p w:rsidR="00703CEA" w:rsidRDefault="00703CEA">
            <w:pPr>
              <w:spacing w:before="40" w:after="40"/>
              <w:jc w:val="right"/>
              <w:rPr>
                <w:b/>
                <w:bCs/>
                <w:sz w:val="20"/>
                <w:szCs w:val="20"/>
                <w:highlight w:val="yellow"/>
              </w:rPr>
            </w:pPr>
            <w:r>
              <w:rPr>
                <w:b/>
                <w:bCs/>
                <w:sz w:val="20"/>
                <w:szCs w:val="20"/>
              </w:rPr>
              <w:t>£’000s</w:t>
            </w:r>
          </w:p>
        </w:tc>
        <w:tc>
          <w:tcPr>
            <w:tcW w:w="393" w:type="pct"/>
            <w:tcBorders>
              <w:top w:val="single" w:sz="4" w:space="0" w:color="auto"/>
              <w:left w:val="single" w:sz="4" w:space="0" w:color="auto"/>
              <w:bottom w:val="single" w:sz="4" w:space="0" w:color="auto"/>
              <w:right w:val="single" w:sz="4" w:space="0" w:color="auto"/>
            </w:tcBorders>
            <w:shd w:val="clear" w:color="auto" w:fill="auto"/>
            <w:hideMark/>
          </w:tcPr>
          <w:p w:rsidR="00703CEA" w:rsidRDefault="00703CEA">
            <w:pPr>
              <w:spacing w:before="40" w:after="40"/>
              <w:jc w:val="right"/>
              <w:rPr>
                <w:b/>
                <w:bCs/>
                <w:sz w:val="20"/>
                <w:szCs w:val="20"/>
              </w:rPr>
            </w:pPr>
            <w:r>
              <w:rPr>
                <w:b/>
                <w:bCs/>
                <w:sz w:val="20"/>
                <w:szCs w:val="20"/>
              </w:rPr>
              <w:t>£’000s</w:t>
            </w:r>
          </w:p>
        </w:tc>
        <w:tc>
          <w:tcPr>
            <w:tcW w:w="82" w:type="pct"/>
            <w:tcBorders>
              <w:top w:val="single" w:sz="4" w:space="0" w:color="auto"/>
              <w:left w:val="single" w:sz="4" w:space="0" w:color="auto"/>
              <w:bottom w:val="single" w:sz="4" w:space="0" w:color="auto"/>
              <w:right w:val="single" w:sz="4" w:space="0" w:color="auto"/>
            </w:tcBorders>
            <w:shd w:val="clear" w:color="auto" w:fill="auto"/>
          </w:tcPr>
          <w:p w:rsidR="00703CEA" w:rsidRDefault="00703CEA">
            <w:pPr>
              <w:spacing w:before="40" w:after="40"/>
              <w:jc w:val="right"/>
              <w:rPr>
                <w:b/>
                <w:bCs/>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auto"/>
            <w:hideMark/>
          </w:tcPr>
          <w:p w:rsidR="00703CEA" w:rsidRDefault="00703CEA">
            <w:pPr>
              <w:spacing w:before="40" w:after="40"/>
              <w:jc w:val="right"/>
              <w:rPr>
                <w:b/>
                <w:bCs/>
                <w:sz w:val="20"/>
                <w:szCs w:val="20"/>
              </w:rPr>
            </w:pPr>
            <w:r>
              <w:rPr>
                <w:b/>
                <w:bCs/>
                <w:sz w:val="20"/>
                <w:szCs w:val="20"/>
              </w:rPr>
              <w:t>£’000s</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703CEA" w:rsidRDefault="00703CEA">
            <w:pPr>
              <w:spacing w:before="40" w:after="40"/>
              <w:jc w:val="right"/>
              <w:rPr>
                <w:b/>
                <w:bCs/>
                <w:sz w:val="20"/>
                <w:szCs w:val="20"/>
              </w:rPr>
            </w:pPr>
            <w:r>
              <w:rPr>
                <w:b/>
                <w:bCs/>
                <w:sz w:val="20"/>
                <w:szCs w:val="20"/>
              </w:rPr>
              <w:t>£’000s</w:t>
            </w:r>
          </w:p>
        </w:tc>
        <w:tc>
          <w:tcPr>
            <w:tcW w:w="106" w:type="pct"/>
            <w:tcBorders>
              <w:top w:val="single" w:sz="4" w:space="0" w:color="auto"/>
              <w:left w:val="single" w:sz="4" w:space="0" w:color="auto"/>
              <w:bottom w:val="single" w:sz="4" w:space="0" w:color="auto"/>
              <w:right w:val="single" w:sz="4" w:space="0" w:color="auto"/>
            </w:tcBorders>
            <w:shd w:val="clear" w:color="auto" w:fill="auto"/>
          </w:tcPr>
          <w:p w:rsidR="00703CEA" w:rsidRDefault="00703CEA">
            <w:pPr>
              <w:spacing w:before="40" w:after="40"/>
              <w:jc w:val="right"/>
              <w:rPr>
                <w:b/>
                <w:bCs/>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auto"/>
            <w:hideMark/>
          </w:tcPr>
          <w:p w:rsidR="00703CEA" w:rsidRDefault="00703CEA">
            <w:pPr>
              <w:spacing w:before="40" w:after="40"/>
              <w:jc w:val="right"/>
              <w:rPr>
                <w:b/>
                <w:bCs/>
                <w:sz w:val="20"/>
                <w:szCs w:val="20"/>
              </w:rPr>
            </w:pPr>
            <w:r>
              <w:rPr>
                <w:b/>
                <w:bCs/>
                <w:sz w:val="20"/>
                <w:szCs w:val="20"/>
              </w:rPr>
              <w:t>£’000s</w:t>
            </w:r>
          </w:p>
        </w:tc>
        <w:tc>
          <w:tcPr>
            <w:tcW w:w="393" w:type="pct"/>
            <w:tcBorders>
              <w:top w:val="single" w:sz="4" w:space="0" w:color="auto"/>
              <w:left w:val="single" w:sz="4" w:space="0" w:color="auto"/>
              <w:bottom w:val="single" w:sz="4" w:space="0" w:color="auto"/>
              <w:right w:val="single" w:sz="4" w:space="0" w:color="auto"/>
            </w:tcBorders>
            <w:shd w:val="clear" w:color="auto" w:fill="auto"/>
            <w:hideMark/>
          </w:tcPr>
          <w:p w:rsidR="00703CEA" w:rsidRDefault="00703CEA">
            <w:pPr>
              <w:spacing w:before="40" w:after="40"/>
              <w:jc w:val="right"/>
              <w:rPr>
                <w:b/>
                <w:bCs/>
                <w:sz w:val="20"/>
                <w:szCs w:val="20"/>
              </w:rPr>
            </w:pPr>
            <w:r>
              <w:rPr>
                <w:b/>
                <w:bCs/>
                <w:sz w:val="20"/>
                <w:szCs w:val="20"/>
              </w:rPr>
              <w:t>£’000s</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703CEA" w:rsidRDefault="00703CEA">
            <w:pPr>
              <w:spacing w:before="40" w:after="40"/>
              <w:rPr>
                <w:b/>
                <w:bCs/>
                <w:sz w:val="20"/>
                <w:szCs w:val="20"/>
              </w:rPr>
            </w:pP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Upgrade Operating System</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98</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(98)</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Business Intelligent Solution</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900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196</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(704)</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250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(54)</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(54)</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To 2018/19</w:t>
            </w: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Control &amp; Mobilisation System  (CAMS)</w:t>
            </w:r>
          </w:p>
        </w:tc>
        <w:tc>
          <w:tcPr>
            <w:tcW w:w="442" w:type="pct"/>
            <w:tcBorders>
              <w:top w:val="nil"/>
              <w:left w:val="single" w:sz="4" w:space="0" w:color="auto"/>
              <w:bottom w:val="single" w:sz="4" w:space="0" w:color="auto"/>
              <w:right w:val="single" w:sz="4" w:space="0" w:color="auto"/>
            </w:tcBorders>
            <w:vAlign w:val="center"/>
            <w:hideMark/>
          </w:tcPr>
          <w:p w:rsidR="00703CEA" w:rsidRDefault="00703CEA">
            <w:pPr>
              <w:spacing w:before="40" w:after="40"/>
              <w:jc w:val="right"/>
              <w:rPr>
                <w:bCs/>
                <w:sz w:val="20"/>
                <w:szCs w:val="20"/>
              </w:rPr>
            </w:pPr>
            <w:r>
              <w:rPr>
                <w:bCs/>
                <w:sz w:val="20"/>
                <w:szCs w:val="20"/>
              </w:rPr>
              <w:t>470</w:t>
            </w:r>
          </w:p>
        </w:tc>
        <w:tc>
          <w:tcPr>
            <w:tcW w:w="393" w:type="pct"/>
            <w:tcBorders>
              <w:top w:val="nil"/>
              <w:left w:val="single" w:sz="4" w:space="0" w:color="auto"/>
              <w:bottom w:val="single" w:sz="4" w:space="0" w:color="auto"/>
              <w:right w:val="single" w:sz="4" w:space="0" w:color="auto"/>
            </w:tcBorders>
            <w:vAlign w:val="center"/>
            <w:hideMark/>
          </w:tcPr>
          <w:p w:rsidR="00703CEA" w:rsidRDefault="00703CEA">
            <w:pPr>
              <w:spacing w:before="40" w:after="40"/>
              <w:jc w:val="right"/>
              <w:rPr>
                <w:bCs/>
                <w:sz w:val="20"/>
                <w:szCs w:val="20"/>
              </w:rPr>
            </w:pPr>
            <w:r>
              <w:rPr>
                <w:bCs/>
                <w:sz w:val="20"/>
                <w:szCs w:val="20"/>
              </w:rPr>
              <w:t>11</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(459)</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vAlign w:val="center"/>
            <w:hideMark/>
          </w:tcPr>
          <w:p w:rsidR="00703CEA" w:rsidRDefault="00703CEA">
            <w:pPr>
              <w:spacing w:before="40" w:after="40"/>
              <w:jc w:val="right"/>
              <w:rPr>
                <w:bCs/>
                <w:sz w:val="20"/>
                <w:szCs w:val="20"/>
              </w:rPr>
            </w:pPr>
            <w:r>
              <w:rPr>
                <w:bCs/>
                <w:sz w:val="20"/>
                <w:szCs w:val="20"/>
              </w:rPr>
              <w:t>0</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11</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vAlign w:val="center"/>
            <w:hideMark/>
          </w:tcPr>
          <w:p w:rsidR="00703CEA" w:rsidRDefault="00703CEA">
            <w:pPr>
              <w:spacing w:before="40" w:after="40"/>
              <w:jc w:val="right"/>
              <w:rPr>
                <w:bCs/>
                <w:sz w:val="20"/>
                <w:szCs w:val="20"/>
              </w:rPr>
            </w:pPr>
            <w:r>
              <w:rPr>
                <w:bCs/>
                <w:sz w:val="20"/>
                <w:szCs w:val="20"/>
              </w:rPr>
              <w:t>11</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nil"/>
              <w:left w:val="single" w:sz="4" w:space="0" w:color="auto"/>
              <w:bottom w:val="single" w:sz="4" w:space="0" w:color="auto"/>
              <w:right w:val="single" w:sz="4" w:space="0" w:color="auto"/>
            </w:tcBorders>
            <w:vAlign w:val="center"/>
          </w:tcPr>
          <w:p w:rsidR="00703CEA" w:rsidRDefault="00703CEA">
            <w:pPr>
              <w:spacing w:before="40" w:after="40"/>
              <w:rPr>
                <w:bCs/>
                <w:sz w:val="16"/>
                <w:szCs w:val="16"/>
              </w:rPr>
            </w:pP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Mobile Data Terminals Replacement</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288</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57</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(231)</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57</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nil"/>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Home Fire Safety Database</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130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(130)</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nil"/>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Replacement of laptops (FEP2462)</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131</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289</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158</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334</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(45)</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(45)</w:t>
            </w:r>
          </w:p>
        </w:tc>
        <w:tc>
          <w:tcPr>
            <w:tcW w:w="790" w:type="pct"/>
            <w:tcBorders>
              <w:top w:val="nil"/>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To 2018/19</w:t>
            </w: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Public Services Network</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707</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(707)</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nil"/>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hideMark/>
          </w:tcPr>
          <w:p w:rsidR="00703CEA" w:rsidRDefault="00703CEA">
            <w:pPr>
              <w:spacing w:before="40" w:after="40"/>
              <w:rPr>
                <w:bCs/>
                <w:sz w:val="20"/>
                <w:szCs w:val="20"/>
              </w:rPr>
            </w:pPr>
            <w:r>
              <w:rPr>
                <w:bCs/>
                <w:sz w:val="20"/>
                <w:szCs w:val="20"/>
              </w:rPr>
              <w:t>Accident (event) reporting solution</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68</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130</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(62)</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highlight w:val="yellow"/>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(62)</w:t>
            </w:r>
          </w:p>
        </w:tc>
        <w:tc>
          <w:tcPr>
            <w:tcW w:w="790" w:type="pct"/>
            <w:tcBorders>
              <w:top w:val="nil"/>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To 2018/19</w:t>
            </w: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hideMark/>
          </w:tcPr>
          <w:p w:rsidR="00703CEA" w:rsidRDefault="00703CEA">
            <w:pPr>
              <w:spacing w:before="40" w:after="40"/>
              <w:rPr>
                <w:bCs/>
                <w:sz w:val="20"/>
                <w:szCs w:val="20"/>
              </w:rPr>
            </w:pPr>
            <w:r>
              <w:rPr>
                <w:bCs/>
                <w:sz w:val="20"/>
                <w:szCs w:val="20"/>
              </w:rPr>
              <w:t>Online Payment Facility</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(70)</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nil"/>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hideMark/>
          </w:tcPr>
          <w:p w:rsidR="00703CEA" w:rsidRDefault="00703CEA">
            <w:pPr>
              <w:spacing w:before="40" w:after="40"/>
              <w:rPr>
                <w:bCs/>
                <w:sz w:val="20"/>
                <w:szCs w:val="20"/>
              </w:rPr>
            </w:pPr>
            <w:r>
              <w:rPr>
                <w:bCs/>
                <w:sz w:val="20"/>
                <w:szCs w:val="20"/>
              </w:rPr>
              <w:t>Audio visual equip for Union Street</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130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150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20</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150</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nil"/>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Blade Farm/</w:t>
            </w:r>
            <w:r>
              <w:rPr>
                <w:sz w:val="20"/>
                <w:szCs w:val="20"/>
              </w:rPr>
              <w:t xml:space="preserve"> </w:t>
            </w:r>
            <w:r>
              <w:rPr>
                <w:bCs/>
                <w:sz w:val="20"/>
                <w:szCs w:val="20"/>
              </w:rPr>
              <w:t xml:space="preserve">Hyperconverged Server </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300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(300)</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nil"/>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ICT – Virtual Desktop Technology</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250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(250)</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nil"/>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New telephone system equipment</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157</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115</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(42)</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157</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(42)</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(42)</w:t>
            </w:r>
          </w:p>
        </w:tc>
        <w:tc>
          <w:tcPr>
            <w:tcW w:w="790" w:type="pct"/>
            <w:tcBorders>
              <w:top w:val="nil"/>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To 2018/19</w:t>
            </w: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New computer terminals</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69</w:t>
            </w:r>
          </w:p>
        </w:tc>
        <w:tc>
          <w:tcPr>
            <w:tcW w:w="393"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r>
              <w:rPr>
                <w:bCs/>
                <w:sz w:val="20"/>
                <w:szCs w:val="20"/>
              </w:rPr>
              <w:t>28</w:t>
            </w:r>
          </w:p>
          <w:p w:rsidR="00703CEA" w:rsidRDefault="00703CEA">
            <w:pPr>
              <w:spacing w:before="40" w:after="40"/>
              <w:jc w:val="right"/>
              <w:rPr>
                <w:bCs/>
                <w:sz w:val="20"/>
                <w:szCs w:val="20"/>
              </w:rPr>
            </w:pP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(41)</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69</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(41)</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(41)</w:t>
            </w:r>
          </w:p>
        </w:tc>
        <w:tc>
          <w:tcPr>
            <w:tcW w:w="790" w:type="pct"/>
            <w:tcBorders>
              <w:top w:val="nil"/>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To 2018/19</w:t>
            </w: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Core Switch Modules</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300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(300)</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nil"/>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Wireless LAN Controllers</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198</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101</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(97)</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120</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(19)</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(19)</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nil"/>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 xml:space="preserve">Station Network Rewires </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100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(100)</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nil"/>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 xml:space="preserve">Physical Server Environment </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500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293</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(207)</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300</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nil"/>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 xml:space="preserve">Establishing a London Co-ordination Centre </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111</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104</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111</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nil"/>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 xml:space="preserve"> Joint Emergency Services Interoperability Programme</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266</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71</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(195)</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266</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(195)</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(195)</w:t>
            </w:r>
          </w:p>
        </w:tc>
        <w:tc>
          <w:tcPr>
            <w:tcW w:w="790" w:type="pct"/>
            <w:tcBorders>
              <w:top w:val="nil"/>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To 2018/19</w:t>
            </w: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Farynor Replacement</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425</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(425)</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50</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(50)</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(50)</w:t>
            </w:r>
          </w:p>
        </w:tc>
        <w:tc>
          <w:tcPr>
            <w:tcW w:w="790" w:type="pct"/>
            <w:tcBorders>
              <w:top w:val="nil"/>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To 2018/19</w:t>
            </w: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Performance Management System</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190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(190)</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nil"/>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nil"/>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ICT Projects Over programming</w:t>
            </w:r>
          </w:p>
        </w:tc>
        <w:tc>
          <w:tcPr>
            <w:tcW w:w="4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(1,098)</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1,098</w:t>
            </w:r>
          </w:p>
        </w:tc>
        <w:tc>
          <w:tcPr>
            <w:tcW w:w="82"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(420)</w:t>
            </w:r>
          </w:p>
        </w:tc>
        <w:tc>
          <w:tcPr>
            <w:tcW w:w="342"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420</w:t>
            </w:r>
          </w:p>
        </w:tc>
        <w:tc>
          <w:tcPr>
            <w:tcW w:w="106" w:type="pct"/>
            <w:tcBorders>
              <w:top w:val="nil"/>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420</w:t>
            </w:r>
          </w:p>
        </w:tc>
        <w:tc>
          <w:tcPr>
            <w:tcW w:w="393" w:type="pct"/>
            <w:tcBorders>
              <w:top w:val="nil"/>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nil"/>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BF2301">
        <w:trPr>
          <w:cantSplit/>
          <w:trHeight w:val="20"/>
        </w:trPr>
        <w:tc>
          <w:tcPr>
            <w:tcW w:w="1264"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703CEA" w:rsidRDefault="00703CEA">
            <w:pPr>
              <w:spacing w:before="40" w:after="40"/>
              <w:rPr>
                <w:bCs/>
                <w:sz w:val="20"/>
                <w:szCs w:val="20"/>
              </w:rPr>
            </w:pPr>
            <w:r>
              <w:rPr>
                <w:b/>
                <w:bCs/>
                <w:sz w:val="20"/>
                <w:szCs w:val="20"/>
              </w:rPr>
              <w:t>ICT PROJECTS</w:t>
            </w:r>
          </w:p>
        </w:tc>
        <w:tc>
          <w:tcPr>
            <w:tcW w:w="442" w:type="pct"/>
            <w:tcBorders>
              <w:top w:val="nil"/>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4,762</w:t>
            </w:r>
          </w:p>
        </w:tc>
        <w:tc>
          <w:tcPr>
            <w:tcW w:w="393" w:type="pct"/>
            <w:tcBorders>
              <w:top w:val="nil"/>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highlight w:val="yellow"/>
              </w:rPr>
            </w:pPr>
            <w:r>
              <w:rPr>
                <w:b/>
                <w:bCs/>
                <w:sz w:val="20"/>
                <w:szCs w:val="20"/>
              </w:rPr>
              <w:t>1,483</w:t>
            </w:r>
          </w:p>
        </w:tc>
        <w:tc>
          <w:tcPr>
            <w:tcW w:w="393" w:type="pct"/>
            <w:tcBorders>
              <w:top w:val="nil"/>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(3,279)</w:t>
            </w:r>
          </w:p>
        </w:tc>
        <w:tc>
          <w:tcPr>
            <w:tcW w:w="82" w:type="pct"/>
            <w:tcBorders>
              <w:top w:val="nil"/>
              <w:left w:val="single" w:sz="4" w:space="0" w:color="auto"/>
              <w:bottom w:val="single" w:sz="4" w:space="0" w:color="auto"/>
              <w:right w:val="single" w:sz="4" w:space="0" w:color="auto"/>
            </w:tcBorders>
            <w:shd w:val="clear" w:color="auto" w:fill="BFBFBF" w:themeFill="background1" w:themeFillShade="BF"/>
          </w:tcPr>
          <w:p w:rsidR="00703CEA" w:rsidRDefault="00703CEA">
            <w:pPr>
              <w:spacing w:before="40" w:after="40"/>
              <w:jc w:val="right"/>
              <w:rPr>
                <w:b/>
                <w:bCs/>
                <w:sz w:val="20"/>
                <w:szCs w:val="20"/>
              </w:rPr>
            </w:pPr>
          </w:p>
        </w:tc>
        <w:tc>
          <w:tcPr>
            <w:tcW w:w="410" w:type="pct"/>
            <w:tcBorders>
              <w:top w:val="nil"/>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1,574</w:t>
            </w:r>
          </w:p>
        </w:tc>
        <w:tc>
          <w:tcPr>
            <w:tcW w:w="342" w:type="pct"/>
            <w:tcBorders>
              <w:top w:val="nil"/>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(91)</w:t>
            </w:r>
          </w:p>
        </w:tc>
        <w:tc>
          <w:tcPr>
            <w:tcW w:w="106" w:type="pct"/>
            <w:tcBorders>
              <w:top w:val="nil"/>
              <w:left w:val="single" w:sz="4" w:space="0" w:color="auto"/>
              <w:bottom w:val="single" w:sz="4" w:space="0" w:color="auto"/>
              <w:right w:val="single" w:sz="4" w:space="0" w:color="auto"/>
            </w:tcBorders>
            <w:shd w:val="clear" w:color="auto" w:fill="BFBFBF" w:themeFill="background1" w:themeFillShade="BF"/>
          </w:tcPr>
          <w:p w:rsidR="00703CEA" w:rsidRDefault="00703CEA">
            <w:pPr>
              <w:spacing w:before="40" w:after="40"/>
              <w:jc w:val="right"/>
              <w:rPr>
                <w:b/>
                <w:bCs/>
                <w:sz w:val="20"/>
                <w:szCs w:val="20"/>
              </w:rPr>
            </w:pPr>
          </w:p>
        </w:tc>
        <w:tc>
          <w:tcPr>
            <w:tcW w:w="384" w:type="pct"/>
            <w:tcBorders>
              <w:top w:val="nil"/>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398</w:t>
            </w:r>
          </w:p>
        </w:tc>
        <w:tc>
          <w:tcPr>
            <w:tcW w:w="393" w:type="pct"/>
            <w:tcBorders>
              <w:top w:val="nil"/>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(489)</w:t>
            </w:r>
          </w:p>
        </w:tc>
        <w:tc>
          <w:tcPr>
            <w:tcW w:w="790" w:type="pct"/>
            <w:tcBorders>
              <w:top w:val="nil"/>
              <w:left w:val="single" w:sz="4" w:space="0" w:color="auto"/>
              <w:bottom w:val="single" w:sz="4" w:space="0" w:color="auto"/>
              <w:right w:val="single" w:sz="4" w:space="0" w:color="auto"/>
            </w:tcBorders>
            <w:shd w:val="clear" w:color="auto" w:fill="BFBFBF" w:themeFill="background1" w:themeFillShade="BF"/>
          </w:tcPr>
          <w:p w:rsidR="00703CEA" w:rsidRDefault="00703CEA">
            <w:pPr>
              <w:spacing w:before="40" w:after="40"/>
              <w:rPr>
                <w:b/>
                <w:bCs/>
                <w:sz w:val="16"/>
                <w:szCs w:val="16"/>
              </w:rPr>
            </w:pPr>
          </w:p>
        </w:tc>
      </w:tr>
      <w:tr w:rsidR="00703CEA" w:rsidTr="00BF2301">
        <w:trPr>
          <w:cantSplit/>
          <w:trHeight w:val="20"/>
        </w:trPr>
        <w:tc>
          <w:tcPr>
            <w:tcW w:w="1264" w:type="pct"/>
            <w:tcBorders>
              <w:top w:val="nil"/>
              <w:left w:val="single" w:sz="4" w:space="0" w:color="auto"/>
              <w:bottom w:val="single" w:sz="4" w:space="0" w:color="auto"/>
              <w:right w:val="single" w:sz="4" w:space="0" w:color="auto"/>
            </w:tcBorders>
            <w:shd w:val="clear" w:color="auto" w:fill="auto"/>
            <w:noWrap/>
            <w:vAlign w:val="center"/>
            <w:hideMark/>
          </w:tcPr>
          <w:p w:rsidR="00703CEA" w:rsidRDefault="00703CEA">
            <w:pPr>
              <w:spacing w:before="40" w:after="40"/>
              <w:rPr>
                <w:b/>
                <w:bCs/>
                <w:sz w:val="20"/>
                <w:szCs w:val="20"/>
              </w:rPr>
            </w:pPr>
            <w:r>
              <w:rPr>
                <w:sz w:val="20"/>
                <w:szCs w:val="20"/>
              </w:rPr>
              <w:br w:type="page"/>
            </w:r>
            <w:r>
              <w:rPr>
                <w:b/>
                <w:bCs/>
                <w:sz w:val="20"/>
                <w:szCs w:val="20"/>
              </w:rPr>
              <w:t>ESTATE PROJECTS</w:t>
            </w:r>
          </w:p>
        </w:tc>
        <w:tc>
          <w:tcPr>
            <w:tcW w:w="442" w:type="pct"/>
            <w:tcBorders>
              <w:top w:val="nil"/>
              <w:left w:val="single" w:sz="4" w:space="0" w:color="auto"/>
              <w:bottom w:val="single" w:sz="4" w:space="0" w:color="auto"/>
              <w:right w:val="single" w:sz="4" w:space="0" w:color="auto"/>
            </w:tcBorders>
            <w:shd w:val="clear" w:color="auto" w:fill="auto"/>
          </w:tcPr>
          <w:p w:rsidR="00703CEA" w:rsidRDefault="00703CEA">
            <w:pPr>
              <w:spacing w:before="40" w:after="40"/>
              <w:jc w:val="right"/>
              <w:rPr>
                <w:b/>
                <w:bCs/>
                <w:sz w:val="20"/>
                <w:szCs w:val="20"/>
              </w:rPr>
            </w:pPr>
          </w:p>
        </w:tc>
        <w:tc>
          <w:tcPr>
            <w:tcW w:w="393" w:type="pct"/>
            <w:tcBorders>
              <w:top w:val="nil"/>
              <w:left w:val="single" w:sz="4" w:space="0" w:color="auto"/>
              <w:bottom w:val="single" w:sz="4" w:space="0" w:color="auto"/>
              <w:right w:val="single" w:sz="4" w:space="0" w:color="auto"/>
            </w:tcBorders>
            <w:shd w:val="clear" w:color="auto" w:fill="auto"/>
          </w:tcPr>
          <w:p w:rsidR="00703CEA" w:rsidRDefault="00703CEA">
            <w:pPr>
              <w:spacing w:before="40" w:after="40"/>
              <w:jc w:val="right"/>
              <w:rPr>
                <w:b/>
                <w:bCs/>
                <w:sz w:val="20"/>
                <w:szCs w:val="20"/>
                <w:highlight w:val="yellow"/>
              </w:rPr>
            </w:pPr>
          </w:p>
        </w:tc>
        <w:tc>
          <w:tcPr>
            <w:tcW w:w="393" w:type="pct"/>
            <w:tcBorders>
              <w:top w:val="nil"/>
              <w:left w:val="single" w:sz="4" w:space="0" w:color="auto"/>
              <w:bottom w:val="single" w:sz="4" w:space="0" w:color="auto"/>
              <w:right w:val="single" w:sz="4" w:space="0" w:color="auto"/>
            </w:tcBorders>
            <w:shd w:val="clear" w:color="auto" w:fill="auto"/>
          </w:tcPr>
          <w:p w:rsidR="00703CEA" w:rsidRDefault="00703CEA">
            <w:pPr>
              <w:spacing w:before="40" w:after="40"/>
              <w:jc w:val="right"/>
              <w:rPr>
                <w:b/>
                <w:bCs/>
                <w:sz w:val="20"/>
                <w:szCs w:val="20"/>
              </w:rPr>
            </w:pPr>
          </w:p>
        </w:tc>
        <w:tc>
          <w:tcPr>
            <w:tcW w:w="82" w:type="pct"/>
            <w:tcBorders>
              <w:top w:val="nil"/>
              <w:left w:val="single" w:sz="4" w:space="0" w:color="auto"/>
              <w:bottom w:val="single" w:sz="4" w:space="0" w:color="auto"/>
              <w:right w:val="single" w:sz="4" w:space="0" w:color="auto"/>
            </w:tcBorders>
            <w:shd w:val="clear" w:color="auto" w:fill="auto"/>
          </w:tcPr>
          <w:p w:rsidR="00703CEA" w:rsidRDefault="00703CEA">
            <w:pPr>
              <w:spacing w:before="40" w:after="40"/>
              <w:jc w:val="right"/>
              <w:rPr>
                <w:b/>
                <w:bCs/>
                <w:sz w:val="20"/>
                <w:szCs w:val="20"/>
              </w:rPr>
            </w:pPr>
          </w:p>
        </w:tc>
        <w:tc>
          <w:tcPr>
            <w:tcW w:w="410" w:type="pct"/>
            <w:tcBorders>
              <w:top w:val="nil"/>
              <w:left w:val="single" w:sz="4" w:space="0" w:color="auto"/>
              <w:bottom w:val="single" w:sz="4" w:space="0" w:color="auto"/>
              <w:right w:val="single" w:sz="4" w:space="0" w:color="auto"/>
            </w:tcBorders>
            <w:shd w:val="clear" w:color="auto" w:fill="auto"/>
          </w:tcPr>
          <w:p w:rsidR="00703CEA" w:rsidRDefault="00703CEA">
            <w:pPr>
              <w:spacing w:before="40" w:after="40"/>
              <w:jc w:val="right"/>
              <w:rPr>
                <w:b/>
                <w:bCs/>
                <w:sz w:val="20"/>
                <w:szCs w:val="20"/>
              </w:rPr>
            </w:pPr>
          </w:p>
        </w:tc>
        <w:tc>
          <w:tcPr>
            <w:tcW w:w="342" w:type="pct"/>
            <w:tcBorders>
              <w:top w:val="nil"/>
              <w:left w:val="single" w:sz="4" w:space="0" w:color="auto"/>
              <w:bottom w:val="single" w:sz="4" w:space="0" w:color="auto"/>
              <w:right w:val="single" w:sz="4" w:space="0" w:color="auto"/>
            </w:tcBorders>
            <w:shd w:val="clear" w:color="auto" w:fill="auto"/>
          </w:tcPr>
          <w:p w:rsidR="00703CEA" w:rsidRDefault="00703CEA">
            <w:pPr>
              <w:spacing w:before="40" w:after="40"/>
              <w:jc w:val="right"/>
              <w:rPr>
                <w:b/>
                <w:bCs/>
                <w:sz w:val="20"/>
                <w:szCs w:val="20"/>
              </w:rPr>
            </w:pPr>
          </w:p>
        </w:tc>
        <w:tc>
          <w:tcPr>
            <w:tcW w:w="106" w:type="pct"/>
            <w:tcBorders>
              <w:top w:val="nil"/>
              <w:left w:val="single" w:sz="4" w:space="0" w:color="auto"/>
              <w:bottom w:val="single" w:sz="4" w:space="0" w:color="auto"/>
              <w:right w:val="single" w:sz="4" w:space="0" w:color="auto"/>
            </w:tcBorders>
            <w:shd w:val="clear" w:color="auto" w:fill="auto"/>
          </w:tcPr>
          <w:p w:rsidR="00703CEA" w:rsidRDefault="00703CEA">
            <w:pPr>
              <w:spacing w:before="40" w:after="40"/>
              <w:jc w:val="right"/>
              <w:rPr>
                <w:b/>
                <w:bCs/>
                <w:sz w:val="20"/>
                <w:szCs w:val="20"/>
              </w:rPr>
            </w:pPr>
          </w:p>
        </w:tc>
        <w:tc>
          <w:tcPr>
            <w:tcW w:w="384" w:type="pct"/>
            <w:tcBorders>
              <w:top w:val="nil"/>
              <w:left w:val="single" w:sz="4" w:space="0" w:color="auto"/>
              <w:bottom w:val="single" w:sz="4" w:space="0" w:color="auto"/>
              <w:right w:val="single" w:sz="4" w:space="0" w:color="auto"/>
            </w:tcBorders>
            <w:shd w:val="clear" w:color="auto" w:fill="auto"/>
          </w:tcPr>
          <w:p w:rsidR="00703CEA" w:rsidRDefault="00703CEA">
            <w:pPr>
              <w:spacing w:before="40" w:after="40"/>
              <w:jc w:val="right"/>
              <w:rPr>
                <w:b/>
                <w:bCs/>
                <w:sz w:val="20"/>
                <w:szCs w:val="20"/>
              </w:rPr>
            </w:pPr>
          </w:p>
        </w:tc>
        <w:tc>
          <w:tcPr>
            <w:tcW w:w="393" w:type="pct"/>
            <w:tcBorders>
              <w:top w:val="nil"/>
              <w:left w:val="single" w:sz="4" w:space="0" w:color="auto"/>
              <w:bottom w:val="single" w:sz="4" w:space="0" w:color="auto"/>
              <w:right w:val="single" w:sz="4" w:space="0" w:color="auto"/>
            </w:tcBorders>
            <w:shd w:val="clear" w:color="auto" w:fill="auto"/>
          </w:tcPr>
          <w:p w:rsidR="00703CEA" w:rsidRDefault="00703CEA">
            <w:pPr>
              <w:spacing w:before="40" w:after="40"/>
              <w:jc w:val="right"/>
              <w:rPr>
                <w:b/>
                <w:bCs/>
                <w:sz w:val="20"/>
                <w:szCs w:val="20"/>
              </w:rPr>
            </w:pPr>
          </w:p>
        </w:tc>
        <w:tc>
          <w:tcPr>
            <w:tcW w:w="790" w:type="pct"/>
            <w:tcBorders>
              <w:top w:val="nil"/>
              <w:left w:val="single" w:sz="4" w:space="0" w:color="auto"/>
              <w:bottom w:val="single" w:sz="4" w:space="0" w:color="auto"/>
              <w:right w:val="single" w:sz="4" w:space="0" w:color="auto"/>
            </w:tcBorders>
            <w:shd w:val="clear" w:color="auto" w:fill="auto"/>
          </w:tcPr>
          <w:p w:rsidR="00703CEA" w:rsidRDefault="00703CEA">
            <w:pPr>
              <w:spacing w:before="40" w:after="40"/>
              <w:rPr>
                <w:b/>
                <w:bCs/>
                <w:sz w:val="16"/>
                <w:szCs w:val="16"/>
              </w:rPr>
            </w:pP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0"/>
              <w:rPr>
                <w:b/>
                <w:bCs/>
                <w:sz w:val="20"/>
                <w:szCs w:val="20"/>
              </w:rPr>
            </w:pPr>
            <w:r>
              <w:rPr>
                <w:bCs/>
                <w:sz w:val="20"/>
                <w:szCs w:val="20"/>
              </w:rPr>
              <w:t>Fire Station Refurbishment (Middx)</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0"/>
              <w:jc w:val="right"/>
              <w:rPr>
                <w:bCs/>
                <w:sz w:val="20"/>
                <w:szCs w:val="20"/>
              </w:rPr>
            </w:pPr>
            <w:r>
              <w:rPr>
                <w:bCs/>
                <w:sz w:val="20"/>
                <w:szCs w:val="20"/>
              </w:rPr>
              <w:t>100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0"/>
              <w:jc w:val="right"/>
              <w:rPr>
                <w:bCs/>
                <w:sz w:val="20"/>
                <w:szCs w:val="20"/>
              </w:rPr>
            </w:pPr>
            <w:r>
              <w:rPr>
                <w:bCs/>
                <w:sz w:val="20"/>
                <w:szCs w:val="20"/>
              </w:rPr>
              <w:t>(100)</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100" w:after="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100" w:after="0"/>
              <w:jc w:val="right"/>
              <w:rPr>
                <w:bCs/>
                <w:sz w:val="20"/>
                <w:szCs w:val="20"/>
              </w:rPr>
            </w:pPr>
            <w:r>
              <w:rPr>
                <w:bCs/>
                <w:sz w:val="20"/>
                <w:szCs w:val="20"/>
              </w:rPr>
              <w:t>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100" w:after="0"/>
              <w:jc w:val="right"/>
              <w:rPr>
                <w:bCs/>
                <w:sz w:val="20"/>
                <w:szCs w:val="20"/>
              </w:rPr>
            </w:pPr>
            <w:r>
              <w:rPr>
                <w:bCs/>
                <w:sz w:val="20"/>
                <w:szCs w:val="20"/>
              </w:rPr>
              <w:t>0</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100" w:after="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100" w:after="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100" w:after="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tcPr>
          <w:p w:rsidR="00703CEA" w:rsidRDefault="00703CEA">
            <w:pPr>
              <w:spacing w:before="100" w:after="0"/>
              <w:rPr>
                <w:bCs/>
                <w:sz w:val="16"/>
                <w:szCs w:val="16"/>
              </w:rPr>
            </w:pP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 xml:space="preserve">Alteration works to Union St HQ </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75</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15</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(60)</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42</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(27)</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(27)</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Budget savings</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West Norwood New Fire Station</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(45)</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(45)</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(45)</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(45)</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Refund of project costs</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Workplace Plan (WIP) Union Street</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240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107</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(133)</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240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(133)</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(73)</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(60)</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£60k c/fwd to 2018/19</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 xml:space="preserve">Re-develop Plumstead Fire Station </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2,500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(2,500)</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Bromley FS works</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214</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240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26</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240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LFB Museum – Fitout</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18</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18</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18</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 xml:space="preserve">Refurbishment of Edmonton F.S. </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50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(50)</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Heating at various fire stations</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1,575</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1,471</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(104)</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1,575</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(104)</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(43)</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(61)</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£61k c/fwd to 2018/19</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Window replacement at fire stations</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300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30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(270)</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140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(110)</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(110)</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To 2018/19</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Rewiring at various fire stations</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592</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765</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173</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789</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(24)</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(24)</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Budget savings</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
                <w:bCs/>
                <w:sz w:val="20"/>
                <w:szCs w:val="20"/>
              </w:rPr>
            </w:pPr>
            <w:r>
              <w:rPr>
                <w:bCs/>
                <w:sz w:val="20"/>
                <w:szCs w:val="20"/>
              </w:rPr>
              <w:t>Building Energy Efficiency (BEEP2)</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789</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755</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(34)</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764</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(9)</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(9)</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Budget savings</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
                <w:bCs/>
                <w:sz w:val="20"/>
                <w:szCs w:val="20"/>
              </w:rPr>
            </w:pPr>
            <w:r>
              <w:rPr>
                <w:bCs/>
                <w:sz w:val="20"/>
                <w:szCs w:val="20"/>
              </w:rPr>
              <w:t>Minor Improvement Programme</w:t>
            </w:r>
          </w:p>
        </w:tc>
        <w:tc>
          <w:tcPr>
            <w:tcW w:w="44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p w:rsidR="00703CEA" w:rsidRDefault="00703CEA">
            <w:pPr>
              <w:spacing w:before="40" w:after="40"/>
              <w:jc w:val="right"/>
              <w:rPr>
                <w:bCs/>
                <w:sz w:val="20"/>
                <w:szCs w:val="20"/>
              </w:rPr>
            </w:pPr>
            <w:r>
              <w:rPr>
                <w:bCs/>
                <w:sz w:val="20"/>
                <w:szCs w:val="20"/>
              </w:rPr>
              <w:t>1,681</w:t>
            </w:r>
          </w:p>
        </w:tc>
        <w:tc>
          <w:tcPr>
            <w:tcW w:w="393"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p w:rsidR="00703CEA" w:rsidRDefault="00703CEA">
            <w:pPr>
              <w:spacing w:before="40" w:after="40"/>
              <w:jc w:val="right"/>
              <w:rPr>
                <w:bCs/>
                <w:sz w:val="20"/>
                <w:szCs w:val="20"/>
              </w:rPr>
            </w:pPr>
            <w:r>
              <w:rPr>
                <w:bCs/>
                <w:sz w:val="20"/>
                <w:szCs w:val="20"/>
              </w:rPr>
              <w:t>670</w:t>
            </w:r>
          </w:p>
        </w:tc>
        <w:tc>
          <w:tcPr>
            <w:tcW w:w="393"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p w:rsidR="00703CEA" w:rsidRDefault="00703CEA">
            <w:pPr>
              <w:spacing w:before="40" w:after="40"/>
              <w:jc w:val="right"/>
              <w:rPr>
                <w:bCs/>
                <w:sz w:val="20"/>
                <w:szCs w:val="20"/>
              </w:rPr>
            </w:pPr>
            <w:r>
              <w:rPr>
                <w:bCs/>
                <w:sz w:val="20"/>
                <w:szCs w:val="20"/>
              </w:rPr>
              <w:t>(1,011)</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p w:rsidR="00703CEA" w:rsidRDefault="00703CEA">
            <w:pPr>
              <w:spacing w:before="40" w:after="40"/>
              <w:jc w:val="right"/>
              <w:rPr>
                <w:bCs/>
                <w:sz w:val="20"/>
                <w:szCs w:val="20"/>
              </w:rPr>
            </w:pPr>
            <w:r>
              <w:rPr>
                <w:bCs/>
                <w:sz w:val="20"/>
                <w:szCs w:val="20"/>
              </w:rPr>
              <w:t>1,002</w:t>
            </w:r>
          </w:p>
        </w:tc>
        <w:tc>
          <w:tcPr>
            <w:tcW w:w="34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p w:rsidR="00703CEA" w:rsidRDefault="00703CEA">
            <w:pPr>
              <w:spacing w:before="40" w:after="40"/>
              <w:jc w:val="right"/>
              <w:rPr>
                <w:bCs/>
                <w:sz w:val="20"/>
                <w:szCs w:val="20"/>
              </w:rPr>
            </w:pPr>
            <w:r>
              <w:rPr>
                <w:bCs/>
                <w:sz w:val="20"/>
                <w:szCs w:val="20"/>
              </w:rPr>
              <w:t>(332)</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144</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(476)</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rsidP="009C6C8B">
            <w:pPr>
              <w:spacing w:before="40" w:after="40"/>
              <w:rPr>
                <w:bCs/>
                <w:sz w:val="16"/>
                <w:szCs w:val="16"/>
              </w:rPr>
            </w:pPr>
            <w:r>
              <w:rPr>
                <w:bCs/>
                <w:sz w:val="16"/>
                <w:szCs w:val="16"/>
              </w:rPr>
              <w:t xml:space="preserve">£60k budget savings from Heating  &amp; £95k budget savings rear years </w:t>
            </w:r>
            <w:r w:rsidR="009C6C8B">
              <w:rPr>
                <w:bCs/>
                <w:sz w:val="16"/>
                <w:szCs w:val="16"/>
              </w:rPr>
              <w:t xml:space="preserve">transfer </w:t>
            </w:r>
            <w:r>
              <w:rPr>
                <w:bCs/>
                <w:sz w:val="16"/>
                <w:szCs w:val="16"/>
              </w:rPr>
              <w:t>to minor works -  £476k to 2018/19</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
                <w:bCs/>
                <w:sz w:val="20"/>
                <w:szCs w:val="20"/>
              </w:rPr>
            </w:pPr>
            <w:r>
              <w:rPr>
                <w:bCs/>
                <w:sz w:val="20"/>
                <w:szCs w:val="20"/>
              </w:rPr>
              <w:t>Corporate Property Project</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50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(50)</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Appliance Bay Doors (Phase 3)</w:t>
            </w:r>
          </w:p>
        </w:tc>
        <w:tc>
          <w:tcPr>
            <w:tcW w:w="44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p w:rsidR="00703CEA" w:rsidRDefault="00703CEA">
            <w:pPr>
              <w:spacing w:before="40" w:after="40"/>
              <w:jc w:val="right"/>
              <w:rPr>
                <w:bCs/>
                <w:sz w:val="20"/>
                <w:szCs w:val="20"/>
              </w:rPr>
            </w:pPr>
            <w:r>
              <w:rPr>
                <w:bCs/>
                <w:sz w:val="20"/>
                <w:szCs w:val="20"/>
              </w:rPr>
              <w:t>220</w:t>
            </w:r>
          </w:p>
        </w:tc>
        <w:tc>
          <w:tcPr>
            <w:tcW w:w="393"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p w:rsidR="00703CEA" w:rsidRDefault="00703CEA">
            <w:pPr>
              <w:spacing w:before="40" w:after="40"/>
              <w:jc w:val="right"/>
              <w:rPr>
                <w:bCs/>
                <w:sz w:val="20"/>
                <w:szCs w:val="20"/>
              </w:rPr>
            </w:pPr>
            <w:r>
              <w:rPr>
                <w:bCs/>
                <w:sz w:val="20"/>
                <w:szCs w:val="20"/>
              </w:rPr>
              <w:t>177</w:t>
            </w:r>
          </w:p>
        </w:tc>
        <w:tc>
          <w:tcPr>
            <w:tcW w:w="393"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p w:rsidR="00703CEA" w:rsidRDefault="00703CEA">
            <w:pPr>
              <w:spacing w:before="40" w:after="40"/>
              <w:jc w:val="right"/>
              <w:rPr>
                <w:bCs/>
                <w:sz w:val="20"/>
                <w:szCs w:val="20"/>
              </w:rPr>
            </w:pPr>
            <w:r>
              <w:rPr>
                <w:bCs/>
                <w:sz w:val="20"/>
                <w:szCs w:val="20"/>
              </w:rPr>
              <w:t>43</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p w:rsidR="00703CEA" w:rsidRDefault="00703CEA">
            <w:pPr>
              <w:spacing w:before="40" w:after="40"/>
              <w:jc w:val="right"/>
              <w:rPr>
                <w:bCs/>
                <w:sz w:val="20"/>
                <w:szCs w:val="20"/>
              </w:rPr>
            </w:pPr>
            <w:r>
              <w:rPr>
                <w:bCs/>
                <w:sz w:val="20"/>
                <w:szCs w:val="20"/>
              </w:rPr>
              <w:t>365</w:t>
            </w:r>
          </w:p>
        </w:tc>
        <w:tc>
          <w:tcPr>
            <w:tcW w:w="34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p w:rsidR="00703CEA" w:rsidRDefault="00703CEA">
            <w:pPr>
              <w:spacing w:before="40" w:after="40"/>
              <w:jc w:val="right"/>
              <w:rPr>
                <w:bCs/>
                <w:sz w:val="20"/>
                <w:szCs w:val="20"/>
              </w:rPr>
            </w:pPr>
            <w:r>
              <w:rPr>
                <w:bCs/>
                <w:sz w:val="20"/>
                <w:szCs w:val="20"/>
              </w:rPr>
              <w:t>(188)</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(188)</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To 2018/19</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Appliance Bay Floors</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250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(250)</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Asbestos Removal</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after="0"/>
              <w:jc w:val="right"/>
              <w:rPr>
                <w:bCs/>
                <w:sz w:val="20"/>
                <w:szCs w:val="20"/>
              </w:rPr>
            </w:pPr>
            <w:r>
              <w:rPr>
                <w:bCs/>
                <w:sz w:val="20"/>
                <w:szCs w:val="20"/>
              </w:rPr>
              <w:t>50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after="0"/>
              <w:jc w:val="right"/>
              <w:rPr>
                <w:bCs/>
                <w:sz w:val="20"/>
                <w:szCs w:val="20"/>
              </w:rPr>
            </w:pPr>
            <w:r>
              <w:rPr>
                <w:bCs/>
                <w:sz w:val="20"/>
                <w:szCs w:val="20"/>
              </w:rPr>
              <w:t>20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after="0"/>
              <w:jc w:val="right"/>
              <w:rPr>
                <w:bCs/>
                <w:sz w:val="20"/>
                <w:szCs w:val="20"/>
              </w:rPr>
            </w:pPr>
            <w:r>
              <w:rPr>
                <w:bCs/>
                <w:sz w:val="20"/>
                <w:szCs w:val="20"/>
              </w:rPr>
              <w:t>(30)</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after="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after="0"/>
              <w:jc w:val="right"/>
              <w:rPr>
                <w:bCs/>
                <w:sz w:val="20"/>
                <w:szCs w:val="20"/>
              </w:rPr>
            </w:pPr>
            <w:r>
              <w:rPr>
                <w:bCs/>
                <w:sz w:val="20"/>
                <w:szCs w:val="20"/>
              </w:rPr>
              <w:t>50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after="0"/>
              <w:jc w:val="right"/>
              <w:rPr>
                <w:bCs/>
                <w:sz w:val="20"/>
                <w:szCs w:val="20"/>
              </w:rPr>
            </w:pPr>
            <w:r>
              <w:rPr>
                <w:bCs/>
                <w:sz w:val="20"/>
                <w:szCs w:val="20"/>
              </w:rPr>
              <w:t>(30)</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after="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after="0"/>
              <w:jc w:val="right"/>
              <w:rPr>
                <w:sz w:val="20"/>
                <w:szCs w:val="20"/>
              </w:rPr>
            </w:pPr>
            <w:r>
              <w:rPr>
                <w:sz w:val="20"/>
                <w:szCs w:val="20"/>
              </w:rPr>
              <w:t>(30)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after="0"/>
              <w:jc w:val="right"/>
              <w:rPr>
                <w:sz w:val="20"/>
                <w:szCs w:val="20"/>
              </w:rPr>
            </w:pPr>
            <w:r>
              <w:rPr>
                <w:sz w:val="20"/>
                <w:szCs w:val="20"/>
              </w:rPr>
              <w:t>0</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after="0"/>
              <w:rPr>
                <w:sz w:val="16"/>
                <w:szCs w:val="16"/>
              </w:rPr>
            </w:pPr>
            <w:r>
              <w:rPr>
                <w:bCs/>
                <w:sz w:val="16"/>
                <w:szCs w:val="16"/>
              </w:rPr>
              <w:t>Budget savings</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Fire Safety Works at Fire Stations</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after="0"/>
              <w:jc w:val="right"/>
              <w:rPr>
                <w:bCs/>
                <w:sz w:val="20"/>
                <w:szCs w:val="20"/>
              </w:rPr>
            </w:pPr>
            <w:r>
              <w:rPr>
                <w:bCs/>
                <w:sz w:val="20"/>
                <w:szCs w:val="20"/>
              </w:rPr>
              <w:t>54</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after="0"/>
              <w:jc w:val="right"/>
              <w:rPr>
                <w:bCs/>
                <w:sz w:val="20"/>
                <w:szCs w:val="20"/>
              </w:rPr>
            </w:pPr>
            <w:r>
              <w:rPr>
                <w:bCs/>
                <w:sz w:val="20"/>
                <w:szCs w:val="20"/>
              </w:rPr>
              <w:t>83</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after="0"/>
              <w:jc w:val="right"/>
              <w:rPr>
                <w:bCs/>
                <w:sz w:val="20"/>
                <w:szCs w:val="20"/>
              </w:rPr>
            </w:pPr>
            <w:r>
              <w:rPr>
                <w:bCs/>
                <w:sz w:val="20"/>
                <w:szCs w:val="20"/>
              </w:rPr>
              <w:t>29</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after="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after="0"/>
              <w:jc w:val="right"/>
              <w:rPr>
                <w:bCs/>
                <w:sz w:val="20"/>
                <w:szCs w:val="20"/>
              </w:rPr>
            </w:pPr>
            <w:r>
              <w:rPr>
                <w:bCs/>
                <w:sz w:val="20"/>
                <w:szCs w:val="20"/>
              </w:rPr>
              <w:t>60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after="0"/>
              <w:jc w:val="right"/>
              <w:rPr>
                <w:bCs/>
                <w:sz w:val="20"/>
                <w:szCs w:val="20"/>
              </w:rPr>
            </w:pPr>
            <w:r>
              <w:rPr>
                <w:bCs/>
                <w:sz w:val="20"/>
                <w:szCs w:val="20"/>
              </w:rPr>
              <w:t>23</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after="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after="0"/>
              <w:jc w:val="right"/>
              <w:rPr>
                <w:bCs/>
                <w:sz w:val="20"/>
                <w:szCs w:val="20"/>
              </w:rPr>
            </w:pPr>
            <w:r>
              <w:rPr>
                <w:bCs/>
                <w:sz w:val="20"/>
                <w:szCs w:val="20"/>
              </w:rPr>
              <w:t>23</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after="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after="0"/>
              <w:rPr>
                <w:bCs/>
                <w:sz w:val="16"/>
                <w:szCs w:val="16"/>
              </w:rPr>
            </w:pPr>
            <w:r>
              <w:rPr>
                <w:bCs/>
                <w:sz w:val="16"/>
                <w:szCs w:val="16"/>
              </w:rPr>
              <w:t>Budget savings</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Forecourts/Rear yards refurbishment</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450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301</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(149)</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450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(149)</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(98)</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(51)</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£51k c/fwd to 2018/19</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Asset Management Plan</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200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(200)</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West Hampstead Cottages Refurb</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(16)</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(16)</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To 2018/19</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Security at Fire Stations, Offices &amp; HQ</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200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(200)</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 xml:space="preserve">New Training Centre </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478</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326</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(152)</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397</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(71)</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(71)</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To 2018/19</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PEG/BDC Development</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3,750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217</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(3,533)</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340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(123)</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(123)</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To 2018/19</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Development costs</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250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(7)</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(257)</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156</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(163)</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(163)</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Budget savings</w:t>
            </w:r>
          </w:p>
        </w:tc>
      </w:tr>
      <w:tr w:rsidR="00703CEA" w:rsidTr="00CD0AF0">
        <w:trPr>
          <w:cantSplit/>
          <w:trHeight w:val="20"/>
        </w:trPr>
        <w:tc>
          <w:tcPr>
            <w:tcW w:w="126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703CEA" w:rsidRDefault="00703CEA">
            <w:pPr>
              <w:spacing w:before="40" w:after="40"/>
              <w:rPr>
                <w:bCs/>
                <w:sz w:val="20"/>
                <w:szCs w:val="20"/>
              </w:rPr>
            </w:pPr>
            <w:r>
              <w:rPr>
                <w:b/>
                <w:bCs/>
                <w:sz w:val="20"/>
                <w:szCs w:val="20"/>
              </w:rPr>
              <w:t>ESTATE PROJECTS</w:t>
            </w:r>
          </w:p>
        </w:tc>
        <w:tc>
          <w:tcPr>
            <w:tcW w:w="44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14,068</w:t>
            </w:r>
          </w:p>
        </w:tc>
        <w:tc>
          <w:tcPr>
            <w:tcW w:w="39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5,147</w:t>
            </w:r>
          </w:p>
        </w:tc>
        <w:tc>
          <w:tcPr>
            <w:tcW w:w="39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(8,921)</w:t>
            </w:r>
          </w:p>
        </w:tc>
        <w:tc>
          <w:tcPr>
            <w:tcW w:w="8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3CEA" w:rsidRDefault="00703CEA">
            <w:pPr>
              <w:spacing w:before="40" w:after="40"/>
              <w:jc w:val="right"/>
              <w:rPr>
                <w:b/>
                <w:bCs/>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6,648</w:t>
            </w:r>
          </w:p>
        </w:tc>
        <w:tc>
          <w:tcPr>
            <w:tcW w:w="34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(1,501)</w:t>
            </w:r>
          </w:p>
        </w:tc>
        <w:tc>
          <w:tcPr>
            <w:tcW w:w="1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3CEA" w:rsidRDefault="00703CEA">
            <w:pPr>
              <w:spacing w:before="40" w:after="40"/>
              <w:jc w:val="right"/>
              <w:rPr>
                <w:b/>
                <w:bCs/>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(345)</w:t>
            </w:r>
          </w:p>
        </w:tc>
        <w:tc>
          <w:tcPr>
            <w:tcW w:w="39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(1,156)</w:t>
            </w:r>
          </w:p>
        </w:tc>
        <w:tc>
          <w:tcPr>
            <w:tcW w:w="79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3CEA" w:rsidRDefault="00703CEA">
            <w:pPr>
              <w:spacing w:before="40" w:after="40"/>
              <w:rPr>
                <w:bCs/>
                <w:sz w:val="20"/>
                <w:szCs w:val="20"/>
              </w:rPr>
            </w:pPr>
          </w:p>
        </w:tc>
      </w:tr>
      <w:tr w:rsidR="00703CEA" w:rsidTr="00CD0AF0">
        <w:trPr>
          <w:cantSplit/>
          <w:trHeight w:val="20"/>
        </w:trPr>
        <w:tc>
          <w:tcPr>
            <w:tcW w:w="1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CEA" w:rsidRDefault="00703CEA">
            <w:pPr>
              <w:spacing w:before="40" w:after="40"/>
              <w:rPr>
                <w:b/>
                <w:bCs/>
                <w:sz w:val="20"/>
                <w:szCs w:val="20"/>
              </w:rPr>
            </w:pPr>
            <w:r>
              <w:rPr>
                <w:b/>
                <w:bCs/>
                <w:sz w:val="20"/>
                <w:szCs w:val="20"/>
              </w:rPr>
              <w:t>FLEET &amp; EQUIPMENT PROJECTS</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703CEA" w:rsidRDefault="00703CEA">
            <w:pPr>
              <w:spacing w:before="40" w:after="40"/>
              <w:jc w:val="right"/>
              <w:rPr>
                <w:b/>
                <w:bCs/>
                <w:sz w:val="20"/>
                <w:szCs w:val="20"/>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703CEA" w:rsidRDefault="00703CEA">
            <w:pPr>
              <w:spacing w:before="40" w:after="40"/>
              <w:jc w:val="right"/>
              <w:rPr>
                <w:b/>
                <w:bCs/>
                <w:sz w:val="20"/>
                <w:szCs w:val="20"/>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703CEA" w:rsidRDefault="00703CEA">
            <w:pPr>
              <w:spacing w:before="40" w:after="40"/>
              <w:jc w:val="right"/>
              <w:rPr>
                <w:b/>
                <w:bCs/>
                <w:sz w:val="20"/>
                <w:szCs w:val="20"/>
              </w:rPr>
            </w:pPr>
          </w:p>
        </w:tc>
        <w:tc>
          <w:tcPr>
            <w:tcW w:w="82" w:type="pct"/>
            <w:tcBorders>
              <w:top w:val="single" w:sz="4" w:space="0" w:color="auto"/>
              <w:left w:val="single" w:sz="4" w:space="0" w:color="auto"/>
              <w:bottom w:val="single" w:sz="4" w:space="0" w:color="auto"/>
              <w:right w:val="single" w:sz="4" w:space="0" w:color="auto"/>
            </w:tcBorders>
            <w:shd w:val="clear" w:color="auto" w:fill="auto"/>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703CEA" w:rsidRDefault="00703CEA">
            <w:pPr>
              <w:spacing w:before="40" w:after="40"/>
              <w:jc w:val="right"/>
              <w:rPr>
                <w:bCs/>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703CEA" w:rsidRDefault="00703CEA">
            <w:pPr>
              <w:spacing w:before="40" w:after="40"/>
              <w:jc w:val="right"/>
              <w:rPr>
                <w:bCs/>
                <w:sz w:val="20"/>
                <w:szCs w:val="20"/>
              </w:rPr>
            </w:pPr>
          </w:p>
        </w:tc>
        <w:tc>
          <w:tcPr>
            <w:tcW w:w="106" w:type="pct"/>
            <w:tcBorders>
              <w:top w:val="single" w:sz="4" w:space="0" w:color="auto"/>
              <w:left w:val="single" w:sz="4" w:space="0" w:color="auto"/>
              <w:bottom w:val="single" w:sz="4" w:space="0" w:color="auto"/>
              <w:right w:val="single" w:sz="4" w:space="0" w:color="auto"/>
            </w:tcBorders>
            <w:shd w:val="clear" w:color="auto" w:fill="auto"/>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703CEA" w:rsidRDefault="00703CEA">
            <w:pPr>
              <w:spacing w:before="40" w:after="40"/>
              <w:jc w:val="right"/>
              <w:rPr>
                <w:bCs/>
                <w:sz w:val="20"/>
                <w:szCs w:val="20"/>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703CEA" w:rsidRDefault="00703CEA">
            <w:pPr>
              <w:spacing w:before="40" w:after="40"/>
              <w:jc w:val="right"/>
              <w:rPr>
                <w:bCs/>
                <w:sz w:val="20"/>
                <w:szCs w:val="20"/>
              </w:rPr>
            </w:pP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703CEA" w:rsidRDefault="00703CEA">
            <w:pPr>
              <w:spacing w:before="40" w:after="40"/>
              <w:rPr>
                <w:bCs/>
                <w:sz w:val="20"/>
                <w:szCs w:val="20"/>
              </w:rPr>
            </w:pP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
                <w:bCs/>
                <w:sz w:val="20"/>
                <w:szCs w:val="20"/>
              </w:rPr>
            </w:pPr>
            <w:r>
              <w:rPr>
                <w:bCs/>
                <w:sz w:val="20"/>
                <w:szCs w:val="20"/>
              </w:rPr>
              <w:t xml:space="preserve">Replacement of Fleet &amp; Equipment </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11,884</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13,504</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1,620</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15,490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(1,986)</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(1,986)</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20"/>
                <w:szCs w:val="20"/>
              </w:rPr>
            </w:pPr>
            <w:r>
              <w:rPr>
                <w:bCs/>
                <w:sz w:val="16"/>
                <w:szCs w:val="16"/>
              </w:rPr>
              <w:t>To 2018/19</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hideMark/>
          </w:tcPr>
          <w:p w:rsidR="00703CEA" w:rsidRDefault="00703CEA">
            <w:pPr>
              <w:spacing w:before="40" w:after="40"/>
              <w:rPr>
                <w:bCs/>
                <w:sz w:val="20"/>
                <w:szCs w:val="20"/>
              </w:rPr>
            </w:pPr>
            <w:r>
              <w:rPr>
                <w:bCs/>
                <w:sz w:val="20"/>
                <w:szCs w:val="20"/>
              </w:rPr>
              <w:t>Fire Initial Response Equipment system</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24</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22</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24</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tcPr>
          <w:p w:rsidR="00703CEA" w:rsidRDefault="00703CEA">
            <w:pPr>
              <w:spacing w:before="40" w:after="40"/>
              <w:rPr>
                <w:bCs/>
                <w:sz w:val="20"/>
                <w:szCs w:val="20"/>
              </w:rPr>
            </w:pP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Early Replacement of ALP &amp; HP</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1,800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(1,800)</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tcPr>
          <w:p w:rsidR="00703CEA" w:rsidRDefault="00703CEA">
            <w:pPr>
              <w:spacing w:before="40" w:after="40"/>
              <w:rPr>
                <w:bCs/>
                <w:sz w:val="20"/>
                <w:szCs w:val="20"/>
              </w:rPr>
            </w:pP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 xml:space="preserve">CCTV on Pumping Appliances </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405</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115</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(290)</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405</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(290)</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(290)</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20"/>
                <w:szCs w:val="20"/>
              </w:rPr>
            </w:pPr>
            <w:r>
              <w:rPr>
                <w:bCs/>
                <w:sz w:val="16"/>
                <w:szCs w:val="16"/>
              </w:rPr>
              <w:t>To 2018/19</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22mm Water Hose and Reel for Appliances</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1,500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486</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(1,014)</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1,500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(1,014)</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(1,014)</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16"/>
                <w:szCs w:val="16"/>
              </w:rPr>
            </w:pPr>
            <w:r>
              <w:rPr>
                <w:bCs/>
                <w:sz w:val="16"/>
                <w:szCs w:val="16"/>
              </w:rPr>
              <w:t>To 2018/19</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 xml:space="preserve">Vehicle Security </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1,389</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56</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(1,333)</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1,389</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(1,333)</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(1,333)</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Cs/>
                <w:sz w:val="20"/>
                <w:szCs w:val="20"/>
              </w:rPr>
            </w:pPr>
            <w:r>
              <w:rPr>
                <w:bCs/>
                <w:sz w:val="16"/>
                <w:szCs w:val="16"/>
              </w:rPr>
              <w:t>To 2018/19</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703CEA" w:rsidRDefault="00703CEA">
            <w:pPr>
              <w:spacing w:before="40" w:after="40"/>
              <w:rPr>
                <w:b/>
                <w:bCs/>
                <w:sz w:val="20"/>
                <w:szCs w:val="20"/>
              </w:rPr>
            </w:pPr>
            <w:r>
              <w:rPr>
                <w:b/>
                <w:bCs/>
                <w:sz w:val="20"/>
                <w:szCs w:val="20"/>
              </w:rPr>
              <w:t>OTHER</w:t>
            </w:r>
          </w:p>
        </w:tc>
        <w:tc>
          <w:tcPr>
            <w:tcW w:w="4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03CEA" w:rsidRDefault="00703CEA">
            <w:pPr>
              <w:spacing w:before="40" w:after="40"/>
              <w:jc w:val="right"/>
              <w:rPr>
                <w:b/>
                <w:bCs/>
                <w:sz w:val="20"/>
                <w:szCs w:val="20"/>
              </w:rPr>
            </w:pPr>
            <w:r>
              <w:rPr>
                <w:b/>
                <w:bCs/>
                <w:sz w:val="20"/>
                <w:szCs w:val="20"/>
              </w:rPr>
              <w:t>17,002</w:t>
            </w:r>
          </w:p>
        </w:tc>
        <w:tc>
          <w:tcPr>
            <w:tcW w:w="39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03CEA" w:rsidRDefault="00703CEA">
            <w:pPr>
              <w:spacing w:before="40" w:after="40"/>
              <w:jc w:val="right"/>
              <w:rPr>
                <w:b/>
                <w:bCs/>
                <w:sz w:val="20"/>
                <w:szCs w:val="20"/>
              </w:rPr>
            </w:pPr>
            <w:r>
              <w:rPr>
                <w:b/>
                <w:bCs/>
                <w:sz w:val="20"/>
                <w:szCs w:val="20"/>
              </w:rPr>
              <w:t>14,183</w:t>
            </w:r>
          </w:p>
        </w:tc>
        <w:tc>
          <w:tcPr>
            <w:tcW w:w="39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(2,819)</w:t>
            </w:r>
          </w:p>
        </w:tc>
        <w:tc>
          <w:tcPr>
            <w:tcW w:w="8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3CEA" w:rsidRDefault="00703CEA">
            <w:pPr>
              <w:spacing w:before="40" w:after="40"/>
              <w:jc w:val="right"/>
              <w:rPr>
                <w:b/>
                <w:bCs/>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03CEA" w:rsidRDefault="00703CEA">
            <w:pPr>
              <w:spacing w:before="40" w:after="40"/>
              <w:jc w:val="right"/>
              <w:rPr>
                <w:b/>
                <w:bCs/>
                <w:sz w:val="20"/>
                <w:szCs w:val="20"/>
              </w:rPr>
            </w:pPr>
            <w:r>
              <w:rPr>
                <w:b/>
                <w:bCs/>
                <w:sz w:val="20"/>
                <w:szCs w:val="20"/>
              </w:rPr>
              <w:t>18,808</w:t>
            </w:r>
          </w:p>
        </w:tc>
        <w:tc>
          <w:tcPr>
            <w:tcW w:w="34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(4,625)</w:t>
            </w:r>
          </w:p>
        </w:tc>
        <w:tc>
          <w:tcPr>
            <w:tcW w:w="1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3CEA" w:rsidRDefault="00703CEA">
            <w:pPr>
              <w:spacing w:before="40" w:after="40"/>
              <w:jc w:val="right"/>
              <w:rPr>
                <w:b/>
                <w:bCs/>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03CEA" w:rsidRDefault="00703CEA">
            <w:pPr>
              <w:spacing w:before="40" w:after="40"/>
              <w:jc w:val="right"/>
              <w:rPr>
                <w:b/>
                <w:bCs/>
                <w:sz w:val="20"/>
                <w:szCs w:val="20"/>
              </w:rPr>
            </w:pPr>
            <w:r>
              <w:rPr>
                <w:b/>
                <w:bCs/>
                <w:sz w:val="20"/>
                <w:szCs w:val="20"/>
              </w:rPr>
              <w:t>(2)</w:t>
            </w:r>
          </w:p>
        </w:tc>
        <w:tc>
          <w:tcPr>
            <w:tcW w:w="39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(4,623)</w:t>
            </w:r>
          </w:p>
        </w:tc>
        <w:tc>
          <w:tcPr>
            <w:tcW w:w="79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3CEA" w:rsidRDefault="00703CEA">
            <w:pPr>
              <w:spacing w:before="40" w:after="40"/>
              <w:rPr>
                <w:b/>
                <w:bCs/>
                <w:sz w:val="20"/>
                <w:szCs w:val="20"/>
              </w:rPr>
            </w:pP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
                <w:bCs/>
                <w:sz w:val="20"/>
                <w:szCs w:val="20"/>
              </w:rPr>
            </w:pPr>
            <w:r>
              <w:rPr>
                <w:bCs/>
                <w:sz w:val="20"/>
                <w:szCs w:val="20"/>
              </w:rPr>
              <w:t>Projected Underspend</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
                <w:bCs/>
                <w:sz w:val="20"/>
                <w:szCs w:val="20"/>
              </w:rPr>
            </w:pPr>
            <w:r>
              <w:rPr>
                <w:bCs/>
                <w:sz w:val="20"/>
                <w:szCs w:val="20"/>
              </w:rPr>
              <w:t>(6,686)</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(6,686)</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(6,686)</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6,686</w:t>
            </w:r>
          </w:p>
        </w:tc>
        <w:tc>
          <w:tcPr>
            <w:tcW w:w="106"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
                <w:bCs/>
                <w:sz w:val="20"/>
                <w:szCs w:val="20"/>
              </w:rPr>
            </w:pPr>
            <w:r>
              <w:rPr>
                <w:b/>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6,686</w:t>
            </w:r>
          </w:p>
        </w:tc>
        <w:tc>
          <w:tcPr>
            <w:tcW w:w="79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rPr>
                <w:b/>
                <w:bCs/>
                <w:sz w:val="20"/>
                <w:szCs w:val="20"/>
              </w:rPr>
            </w:pPr>
            <w:r>
              <w:rPr>
                <w:bCs/>
                <w:sz w:val="16"/>
                <w:szCs w:val="16"/>
              </w:rPr>
              <w:t>To 2018/19</w:t>
            </w:r>
          </w:p>
        </w:tc>
      </w:tr>
      <w:tr w:rsidR="00703CEA" w:rsidTr="009030BD">
        <w:trPr>
          <w:cantSplit/>
          <w:trHeight w:val="20"/>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703CEA" w:rsidRDefault="00703CEA">
            <w:pPr>
              <w:spacing w:before="40" w:after="40"/>
              <w:rPr>
                <w:bCs/>
                <w:sz w:val="20"/>
                <w:szCs w:val="20"/>
              </w:rPr>
            </w:pPr>
            <w:r>
              <w:rPr>
                <w:bCs/>
                <w:sz w:val="20"/>
                <w:szCs w:val="20"/>
              </w:rPr>
              <w:t>Disposal fees for surplus site</w:t>
            </w:r>
          </w:p>
        </w:tc>
        <w:tc>
          <w:tcPr>
            <w:tcW w:w="4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204</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204</w:t>
            </w:r>
          </w:p>
        </w:tc>
        <w:tc>
          <w:tcPr>
            <w:tcW w:w="82" w:type="pct"/>
            <w:tcBorders>
              <w:top w:val="single" w:sz="4" w:space="0" w:color="auto"/>
              <w:left w:val="single" w:sz="4" w:space="0" w:color="auto"/>
              <w:bottom w:val="single" w:sz="4" w:space="0" w:color="auto"/>
              <w:right w:val="single" w:sz="4" w:space="0" w:color="auto"/>
            </w:tcBorders>
          </w:tcPr>
          <w:p w:rsidR="00703CEA" w:rsidRDefault="00703CEA">
            <w:pPr>
              <w:spacing w:before="40" w:after="40"/>
              <w:jc w:val="right"/>
              <w:rPr>
                <w:bCs/>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42"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204</w:t>
            </w:r>
          </w:p>
        </w:tc>
        <w:tc>
          <w:tcPr>
            <w:tcW w:w="106"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384"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
                <w:bCs/>
                <w:sz w:val="20"/>
                <w:szCs w:val="20"/>
              </w:rPr>
            </w:pPr>
            <w:r>
              <w:rPr>
                <w:b/>
                <w:bCs/>
                <w:sz w:val="20"/>
                <w:szCs w:val="20"/>
              </w:rPr>
              <w:t>204</w:t>
            </w:r>
          </w:p>
        </w:tc>
        <w:tc>
          <w:tcPr>
            <w:tcW w:w="393" w:type="pct"/>
            <w:tcBorders>
              <w:top w:val="single" w:sz="4" w:space="0" w:color="auto"/>
              <w:left w:val="single" w:sz="4" w:space="0" w:color="auto"/>
              <w:bottom w:val="single" w:sz="4" w:space="0" w:color="auto"/>
              <w:right w:val="single" w:sz="4" w:space="0" w:color="auto"/>
            </w:tcBorders>
            <w:hideMark/>
          </w:tcPr>
          <w:p w:rsidR="00703CEA" w:rsidRDefault="00703CEA">
            <w:pPr>
              <w:spacing w:before="40" w:after="40"/>
              <w:jc w:val="right"/>
              <w:rPr>
                <w:bCs/>
                <w:sz w:val="20"/>
                <w:szCs w:val="20"/>
              </w:rPr>
            </w:pPr>
            <w:r>
              <w:rPr>
                <w:bCs/>
                <w:sz w:val="20"/>
                <w:szCs w:val="20"/>
              </w:rPr>
              <w:t>0</w:t>
            </w:r>
          </w:p>
        </w:tc>
        <w:tc>
          <w:tcPr>
            <w:tcW w:w="790" w:type="pct"/>
            <w:tcBorders>
              <w:top w:val="single" w:sz="4" w:space="0" w:color="auto"/>
              <w:left w:val="single" w:sz="4" w:space="0" w:color="auto"/>
              <w:bottom w:val="single" w:sz="4" w:space="0" w:color="auto"/>
              <w:right w:val="single" w:sz="4" w:space="0" w:color="auto"/>
            </w:tcBorders>
          </w:tcPr>
          <w:p w:rsidR="00703CEA" w:rsidRDefault="00703CEA">
            <w:pPr>
              <w:spacing w:before="40" w:after="40"/>
              <w:rPr>
                <w:bCs/>
                <w:sz w:val="16"/>
                <w:szCs w:val="16"/>
              </w:rPr>
            </w:pPr>
          </w:p>
        </w:tc>
      </w:tr>
      <w:tr w:rsidR="00703CEA" w:rsidTr="00CD0AF0">
        <w:trPr>
          <w:cantSplit/>
          <w:trHeight w:val="20"/>
        </w:trPr>
        <w:tc>
          <w:tcPr>
            <w:tcW w:w="126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703CEA" w:rsidRDefault="00703CEA">
            <w:pPr>
              <w:spacing w:before="40" w:after="40"/>
              <w:rPr>
                <w:b/>
                <w:bCs/>
                <w:sz w:val="20"/>
                <w:szCs w:val="20"/>
              </w:rPr>
            </w:pPr>
            <w:r>
              <w:rPr>
                <w:b/>
                <w:bCs/>
                <w:sz w:val="20"/>
                <w:szCs w:val="20"/>
              </w:rPr>
              <w:t>CAPITAL EXPENDITURE TOTAL</w:t>
            </w:r>
          </w:p>
        </w:tc>
        <w:tc>
          <w:tcPr>
            <w:tcW w:w="44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29,146</w:t>
            </w:r>
          </w:p>
        </w:tc>
        <w:tc>
          <w:tcPr>
            <w:tcW w:w="39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21,017</w:t>
            </w:r>
          </w:p>
        </w:tc>
        <w:tc>
          <w:tcPr>
            <w:tcW w:w="39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(8,129)</w:t>
            </w:r>
          </w:p>
        </w:tc>
        <w:tc>
          <w:tcPr>
            <w:tcW w:w="8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3CEA" w:rsidRDefault="00703CEA">
            <w:pPr>
              <w:spacing w:before="40" w:after="40"/>
              <w:jc w:val="right"/>
              <w:rPr>
                <w:b/>
                <w:bCs/>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20,344</w:t>
            </w:r>
          </w:p>
        </w:tc>
        <w:tc>
          <w:tcPr>
            <w:tcW w:w="34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673</w:t>
            </w:r>
          </w:p>
        </w:tc>
        <w:tc>
          <w:tcPr>
            <w:tcW w:w="1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3CEA" w:rsidRDefault="00703CEA">
            <w:pPr>
              <w:spacing w:before="40" w:after="40"/>
              <w:jc w:val="right"/>
              <w:rPr>
                <w:b/>
                <w:bCs/>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255</w:t>
            </w:r>
          </w:p>
        </w:tc>
        <w:tc>
          <w:tcPr>
            <w:tcW w:w="39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03CEA" w:rsidRDefault="00703CEA">
            <w:pPr>
              <w:spacing w:before="40" w:after="40"/>
              <w:jc w:val="right"/>
              <w:rPr>
                <w:b/>
                <w:bCs/>
                <w:sz w:val="20"/>
                <w:szCs w:val="20"/>
              </w:rPr>
            </w:pPr>
            <w:r>
              <w:rPr>
                <w:b/>
                <w:bCs/>
                <w:sz w:val="20"/>
                <w:szCs w:val="20"/>
              </w:rPr>
              <w:t>418</w:t>
            </w:r>
          </w:p>
        </w:tc>
        <w:tc>
          <w:tcPr>
            <w:tcW w:w="79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3CEA" w:rsidRDefault="00703CEA">
            <w:pPr>
              <w:spacing w:before="40" w:after="40"/>
              <w:rPr>
                <w:bCs/>
                <w:sz w:val="20"/>
                <w:szCs w:val="20"/>
              </w:rPr>
            </w:pPr>
          </w:p>
        </w:tc>
      </w:tr>
    </w:tbl>
    <w:p w:rsidR="008F25D4" w:rsidRDefault="008F25D4" w:rsidP="008F25D4">
      <w:pPr>
        <w:tabs>
          <w:tab w:val="left" w:pos="2921"/>
        </w:tabs>
      </w:pPr>
    </w:p>
    <w:p w:rsidR="00807719" w:rsidRDefault="00807719">
      <w:pPr>
        <w:spacing w:after="0" w:line="240" w:lineRule="auto"/>
      </w:pPr>
      <w:r>
        <w:br w:type="page"/>
      </w:r>
    </w:p>
    <w:tbl>
      <w:tblPr>
        <w:tblW w:w="5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9"/>
        <w:gridCol w:w="1155"/>
        <w:gridCol w:w="1155"/>
        <w:gridCol w:w="1155"/>
        <w:gridCol w:w="1155"/>
        <w:gridCol w:w="236"/>
        <w:gridCol w:w="1154"/>
        <w:gridCol w:w="1154"/>
        <w:gridCol w:w="1154"/>
        <w:gridCol w:w="1154"/>
        <w:gridCol w:w="1154"/>
        <w:gridCol w:w="1154"/>
      </w:tblGrid>
      <w:tr w:rsidR="00807719" w:rsidTr="00CD0AF0">
        <w:trPr>
          <w:cantSplit/>
          <w:trHeight w:val="1042"/>
          <w:tblHeader/>
          <w:jc w:val="center"/>
        </w:trPr>
        <w:tc>
          <w:tcPr>
            <w:tcW w:w="119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07719" w:rsidRDefault="00807719" w:rsidP="00807719">
            <w:pPr>
              <w:spacing w:before="40" w:after="40"/>
              <w:rPr>
                <w:b/>
                <w:bCs/>
                <w:sz w:val="20"/>
                <w:szCs w:val="20"/>
              </w:rPr>
            </w:pPr>
            <w:r>
              <w:rPr>
                <w:sz w:val="20"/>
                <w:szCs w:val="20"/>
              </w:rPr>
              <w:br w:type="page"/>
            </w:r>
            <w:r>
              <w:rPr>
                <w:sz w:val="20"/>
                <w:szCs w:val="20"/>
              </w:rPr>
              <w:br w:type="page"/>
            </w:r>
            <w:r>
              <w:rPr>
                <w:b/>
                <w:sz w:val="20"/>
                <w:szCs w:val="20"/>
              </w:rPr>
              <w:t xml:space="preserve"> FUTURE </w:t>
            </w:r>
            <w:r>
              <w:rPr>
                <w:b/>
                <w:bCs/>
                <w:sz w:val="20"/>
                <w:szCs w:val="20"/>
              </w:rPr>
              <w:t xml:space="preserve">CAPITAL PROGRAMME </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719" w:rsidRDefault="00807719">
            <w:pPr>
              <w:spacing w:before="40" w:after="40"/>
              <w:rPr>
                <w:b/>
                <w:bCs/>
                <w:sz w:val="20"/>
                <w:szCs w:val="20"/>
              </w:rPr>
            </w:pPr>
            <w:r>
              <w:rPr>
                <w:b/>
                <w:bCs/>
                <w:sz w:val="20"/>
                <w:szCs w:val="20"/>
              </w:rPr>
              <w:t>2018-19 Budget</w:t>
            </w:r>
          </w:p>
          <w:p w:rsidR="00807719" w:rsidRDefault="00807719">
            <w:pPr>
              <w:spacing w:before="40" w:after="40"/>
              <w:rPr>
                <w:b/>
                <w:bCs/>
                <w:sz w:val="20"/>
                <w:szCs w:val="20"/>
              </w:rPr>
            </w:pPr>
            <w:r>
              <w:rPr>
                <w:b/>
                <w:bCs/>
                <w:sz w:val="20"/>
                <w:szCs w:val="20"/>
              </w:rPr>
              <w:t>March 18</w:t>
            </w:r>
          </w:p>
          <w:p w:rsidR="00807719" w:rsidRDefault="00807719">
            <w:pPr>
              <w:spacing w:before="40" w:after="40"/>
              <w:rPr>
                <w:b/>
                <w:bCs/>
                <w:sz w:val="20"/>
                <w:szCs w:val="20"/>
              </w:rPr>
            </w:pPr>
            <w:r>
              <w:rPr>
                <w:b/>
                <w:bCs/>
                <w:sz w:val="20"/>
                <w:szCs w:val="20"/>
              </w:rPr>
              <w:t>Resources</w:t>
            </w:r>
          </w:p>
          <w:p w:rsidR="00807719" w:rsidRDefault="00807719">
            <w:pPr>
              <w:spacing w:before="40" w:after="40"/>
              <w:rPr>
                <w:b/>
                <w:bCs/>
                <w:sz w:val="20"/>
                <w:szCs w:val="20"/>
              </w:rPr>
            </w:pPr>
            <w:r>
              <w:rPr>
                <w:b/>
                <w:bCs/>
                <w:sz w:val="20"/>
                <w:szCs w:val="20"/>
              </w:rPr>
              <w:t xml:space="preserve">Committee </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719" w:rsidRDefault="00807719">
            <w:pPr>
              <w:spacing w:before="40" w:after="40"/>
              <w:rPr>
                <w:b/>
                <w:bCs/>
                <w:sz w:val="20"/>
                <w:szCs w:val="20"/>
              </w:rPr>
            </w:pPr>
            <w:r>
              <w:rPr>
                <w:b/>
                <w:bCs/>
                <w:sz w:val="20"/>
                <w:szCs w:val="20"/>
              </w:rPr>
              <w:t>B/fwd from 2017-18</w:t>
            </w:r>
          </w:p>
          <w:p w:rsidR="00807719" w:rsidRDefault="00807719">
            <w:pPr>
              <w:spacing w:before="40" w:after="40"/>
              <w:rPr>
                <w:b/>
                <w:bCs/>
                <w:sz w:val="20"/>
                <w:szCs w:val="20"/>
                <w:highlight w:val="yellow"/>
              </w:rPr>
            </w:pPr>
            <w:r>
              <w:rPr>
                <w:b/>
                <w:bCs/>
                <w:sz w:val="20"/>
                <w:szCs w:val="20"/>
              </w:rPr>
              <w:t>Outturn</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719" w:rsidRDefault="00807719">
            <w:pPr>
              <w:spacing w:before="40" w:after="40"/>
              <w:rPr>
                <w:b/>
                <w:bCs/>
                <w:sz w:val="20"/>
                <w:szCs w:val="20"/>
              </w:rPr>
            </w:pPr>
            <w:r>
              <w:rPr>
                <w:b/>
                <w:bCs/>
                <w:sz w:val="20"/>
                <w:szCs w:val="20"/>
              </w:rPr>
              <w:t>C/fwd to 2019/20/savings</w:t>
            </w:r>
          </w:p>
          <w:p w:rsidR="00807719" w:rsidRDefault="00807719">
            <w:pPr>
              <w:spacing w:before="40" w:after="40"/>
              <w:rPr>
                <w:b/>
                <w:bCs/>
                <w:sz w:val="20"/>
                <w:szCs w:val="20"/>
              </w:rPr>
            </w:pPr>
            <w:r>
              <w:rPr>
                <w:b/>
                <w:bCs/>
                <w:sz w:val="20"/>
                <w:szCs w:val="20"/>
              </w:rPr>
              <w:t>New Projects</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719" w:rsidRDefault="00807719">
            <w:pPr>
              <w:spacing w:before="40" w:after="40"/>
              <w:rPr>
                <w:b/>
                <w:bCs/>
                <w:sz w:val="20"/>
                <w:szCs w:val="20"/>
              </w:rPr>
            </w:pPr>
            <w:r>
              <w:rPr>
                <w:b/>
                <w:bCs/>
                <w:sz w:val="20"/>
                <w:szCs w:val="20"/>
              </w:rPr>
              <w:t>2018-19 Budget</w:t>
            </w:r>
          </w:p>
          <w:p w:rsidR="00807719" w:rsidRDefault="00807719">
            <w:pPr>
              <w:spacing w:before="40" w:after="40"/>
              <w:rPr>
                <w:b/>
                <w:bCs/>
                <w:sz w:val="20"/>
                <w:szCs w:val="20"/>
              </w:rPr>
            </w:pPr>
            <w:r>
              <w:rPr>
                <w:b/>
                <w:bCs/>
                <w:sz w:val="20"/>
                <w:szCs w:val="20"/>
              </w:rPr>
              <w:t>2017-18 OUTTURN REPORT</w:t>
            </w:r>
          </w:p>
        </w:tc>
        <w:tc>
          <w:tcPr>
            <w:tcW w:w="76" w:type="pct"/>
            <w:tcBorders>
              <w:top w:val="single" w:sz="4" w:space="0" w:color="auto"/>
              <w:left w:val="single" w:sz="4" w:space="0" w:color="auto"/>
              <w:bottom w:val="single" w:sz="4" w:space="0" w:color="auto"/>
              <w:right w:val="single" w:sz="4" w:space="0" w:color="auto"/>
            </w:tcBorders>
            <w:shd w:val="clear" w:color="auto" w:fill="FFFFFF" w:themeFill="background1"/>
          </w:tcPr>
          <w:p w:rsidR="00807719" w:rsidRDefault="00807719">
            <w:pPr>
              <w:spacing w:before="40" w:after="40"/>
              <w:rPr>
                <w:b/>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rsidR="00807719" w:rsidRDefault="00807719">
            <w:pPr>
              <w:spacing w:before="40" w:after="40"/>
              <w:rPr>
                <w:b/>
                <w:bCs/>
                <w:sz w:val="20"/>
                <w:szCs w:val="20"/>
              </w:rPr>
            </w:pPr>
            <w:r>
              <w:rPr>
                <w:b/>
                <w:bCs/>
                <w:sz w:val="20"/>
                <w:szCs w:val="20"/>
              </w:rPr>
              <w:t xml:space="preserve">2019/20 Budget </w:t>
            </w:r>
          </w:p>
          <w:p w:rsidR="00807719" w:rsidRDefault="00807719">
            <w:pPr>
              <w:spacing w:before="40" w:after="40"/>
              <w:rPr>
                <w:b/>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rsidR="00807719" w:rsidRDefault="00807719">
            <w:pPr>
              <w:spacing w:before="40" w:after="40"/>
              <w:rPr>
                <w:b/>
                <w:bCs/>
                <w:sz w:val="20"/>
                <w:szCs w:val="20"/>
              </w:rPr>
            </w:pPr>
            <w:r>
              <w:rPr>
                <w:b/>
                <w:bCs/>
                <w:sz w:val="20"/>
                <w:szCs w:val="20"/>
              </w:rPr>
              <w:t xml:space="preserve">2020/21 Budget </w:t>
            </w:r>
          </w:p>
          <w:p w:rsidR="00807719" w:rsidRDefault="00807719">
            <w:pPr>
              <w:spacing w:before="40" w:after="40"/>
              <w:rPr>
                <w:b/>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rsidR="00807719" w:rsidRDefault="00807719">
            <w:pPr>
              <w:spacing w:before="40" w:after="40"/>
              <w:rPr>
                <w:b/>
                <w:bCs/>
                <w:sz w:val="20"/>
                <w:szCs w:val="20"/>
              </w:rPr>
            </w:pPr>
            <w:r>
              <w:rPr>
                <w:b/>
                <w:bCs/>
                <w:sz w:val="20"/>
                <w:szCs w:val="20"/>
              </w:rPr>
              <w:t xml:space="preserve">2021/22 Budget </w:t>
            </w:r>
          </w:p>
          <w:p w:rsidR="00807719" w:rsidRDefault="00807719">
            <w:pPr>
              <w:spacing w:before="40" w:after="40"/>
              <w:rPr>
                <w:b/>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719" w:rsidRDefault="00807719">
            <w:pPr>
              <w:spacing w:before="40" w:after="40"/>
              <w:rPr>
                <w:b/>
                <w:bCs/>
                <w:sz w:val="20"/>
                <w:szCs w:val="20"/>
              </w:rPr>
            </w:pPr>
            <w:r>
              <w:rPr>
                <w:b/>
                <w:bCs/>
                <w:sz w:val="20"/>
                <w:szCs w:val="20"/>
              </w:rPr>
              <w:t>Prior Years Spend</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719" w:rsidRDefault="00807719">
            <w:pPr>
              <w:spacing w:before="40" w:after="40"/>
              <w:rPr>
                <w:b/>
                <w:bCs/>
                <w:sz w:val="20"/>
                <w:szCs w:val="20"/>
              </w:rPr>
            </w:pPr>
            <w:r>
              <w:rPr>
                <w:b/>
                <w:bCs/>
                <w:sz w:val="20"/>
                <w:szCs w:val="20"/>
              </w:rPr>
              <w:t>Projected project Spend</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719" w:rsidRDefault="00807719">
            <w:pPr>
              <w:spacing w:before="40" w:after="40"/>
              <w:rPr>
                <w:b/>
                <w:bCs/>
                <w:sz w:val="20"/>
                <w:szCs w:val="20"/>
              </w:rPr>
            </w:pPr>
            <w:r>
              <w:rPr>
                <w:b/>
                <w:bCs/>
                <w:sz w:val="20"/>
                <w:szCs w:val="20"/>
              </w:rPr>
              <w:t>Approved budget</w:t>
            </w:r>
          </w:p>
        </w:tc>
      </w:tr>
      <w:tr w:rsidR="00807719" w:rsidTr="00CD0AF0">
        <w:trPr>
          <w:cantSplit/>
          <w:trHeight w:val="19"/>
          <w:jc w:val="center"/>
        </w:trPr>
        <w:tc>
          <w:tcPr>
            <w:tcW w:w="119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07719" w:rsidRDefault="00807719">
            <w:pPr>
              <w:spacing w:before="40" w:after="40"/>
              <w:rPr>
                <w:b/>
                <w:bCs/>
                <w:sz w:val="20"/>
                <w:szCs w:val="20"/>
              </w:rPr>
            </w:pPr>
            <w:r>
              <w:rPr>
                <w:b/>
                <w:bCs/>
                <w:sz w:val="20"/>
                <w:szCs w:val="20"/>
              </w:rPr>
              <w:t>ICT Projects</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719" w:rsidRDefault="00807719">
            <w:pPr>
              <w:spacing w:before="40" w:after="40"/>
              <w:rPr>
                <w:b/>
                <w:bCs/>
                <w:sz w:val="20"/>
                <w:szCs w:val="20"/>
              </w:rPr>
            </w:pPr>
            <w:r>
              <w:rPr>
                <w:b/>
                <w:bCs/>
                <w:sz w:val="20"/>
                <w:szCs w:val="20"/>
              </w:rPr>
              <w:t>£’000s</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719" w:rsidRDefault="00807719">
            <w:pPr>
              <w:spacing w:before="40" w:after="40"/>
              <w:rPr>
                <w:b/>
                <w:bCs/>
                <w:sz w:val="20"/>
                <w:szCs w:val="20"/>
                <w:highlight w:val="yellow"/>
              </w:rPr>
            </w:pPr>
            <w:r>
              <w:rPr>
                <w:b/>
                <w:bCs/>
                <w:sz w:val="20"/>
                <w:szCs w:val="20"/>
              </w:rPr>
              <w:t>£’000s</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719" w:rsidRDefault="00807719">
            <w:pPr>
              <w:spacing w:before="40" w:after="40"/>
              <w:rPr>
                <w:b/>
                <w:bCs/>
                <w:sz w:val="20"/>
                <w:szCs w:val="20"/>
              </w:rPr>
            </w:pPr>
            <w:r>
              <w:rPr>
                <w:b/>
                <w:bCs/>
                <w:sz w:val="20"/>
                <w:szCs w:val="20"/>
              </w:rPr>
              <w:t>£’000s</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719" w:rsidRDefault="00807719">
            <w:pPr>
              <w:spacing w:before="40" w:after="40"/>
              <w:rPr>
                <w:b/>
                <w:bCs/>
                <w:sz w:val="20"/>
                <w:szCs w:val="20"/>
              </w:rPr>
            </w:pPr>
            <w:r>
              <w:rPr>
                <w:b/>
                <w:bCs/>
                <w:sz w:val="20"/>
                <w:szCs w:val="20"/>
              </w:rPr>
              <w:t>£’000s</w:t>
            </w:r>
          </w:p>
        </w:tc>
        <w:tc>
          <w:tcPr>
            <w:tcW w:w="76" w:type="pct"/>
            <w:tcBorders>
              <w:top w:val="single" w:sz="4" w:space="0" w:color="auto"/>
              <w:left w:val="single" w:sz="4" w:space="0" w:color="auto"/>
              <w:bottom w:val="single" w:sz="4" w:space="0" w:color="auto"/>
              <w:right w:val="single" w:sz="4" w:space="0" w:color="auto"/>
            </w:tcBorders>
            <w:shd w:val="clear" w:color="auto" w:fill="FFFFFF" w:themeFill="background1"/>
          </w:tcPr>
          <w:p w:rsidR="00807719" w:rsidRDefault="00807719">
            <w:pPr>
              <w:spacing w:before="40" w:after="40"/>
              <w:rPr>
                <w:b/>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719" w:rsidRDefault="00807719">
            <w:pPr>
              <w:spacing w:before="40" w:after="40"/>
              <w:rPr>
                <w:b/>
                <w:bCs/>
                <w:sz w:val="20"/>
                <w:szCs w:val="20"/>
              </w:rPr>
            </w:pPr>
            <w:r>
              <w:rPr>
                <w:b/>
                <w:bCs/>
                <w:sz w:val="20"/>
                <w:szCs w:val="20"/>
              </w:rPr>
              <w:t>£’000s</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719" w:rsidRDefault="00807719">
            <w:pPr>
              <w:spacing w:before="40" w:after="40"/>
              <w:rPr>
                <w:b/>
                <w:bCs/>
                <w:sz w:val="20"/>
                <w:szCs w:val="20"/>
              </w:rPr>
            </w:pPr>
            <w:r>
              <w:rPr>
                <w:b/>
                <w:bCs/>
                <w:sz w:val="20"/>
                <w:szCs w:val="20"/>
              </w:rPr>
              <w:t>£’000s</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719" w:rsidRDefault="00807719">
            <w:pPr>
              <w:spacing w:before="40" w:after="40"/>
              <w:rPr>
                <w:b/>
                <w:bCs/>
                <w:sz w:val="20"/>
                <w:szCs w:val="20"/>
              </w:rPr>
            </w:pPr>
            <w:r>
              <w:rPr>
                <w:b/>
                <w:bCs/>
                <w:sz w:val="20"/>
                <w:szCs w:val="20"/>
              </w:rPr>
              <w:t>£’000s</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719" w:rsidRDefault="00807719">
            <w:pPr>
              <w:spacing w:before="40" w:after="40"/>
              <w:rPr>
                <w:b/>
                <w:bCs/>
                <w:sz w:val="20"/>
                <w:szCs w:val="20"/>
              </w:rPr>
            </w:pPr>
            <w:r>
              <w:rPr>
                <w:b/>
                <w:bCs/>
                <w:sz w:val="20"/>
                <w:szCs w:val="20"/>
              </w:rPr>
              <w:t>£’000s</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719" w:rsidRDefault="00807719">
            <w:pPr>
              <w:spacing w:before="40" w:after="40"/>
              <w:rPr>
                <w:b/>
                <w:bCs/>
                <w:sz w:val="20"/>
                <w:szCs w:val="20"/>
              </w:rPr>
            </w:pPr>
            <w:r>
              <w:rPr>
                <w:b/>
                <w:bCs/>
                <w:sz w:val="20"/>
                <w:szCs w:val="20"/>
              </w:rPr>
              <w:t>£’000s</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07719" w:rsidRDefault="00807719">
            <w:pPr>
              <w:spacing w:before="40" w:after="40"/>
              <w:rPr>
                <w:b/>
                <w:bCs/>
                <w:sz w:val="20"/>
                <w:szCs w:val="20"/>
              </w:rPr>
            </w:pPr>
            <w:r>
              <w:rPr>
                <w:b/>
                <w:bCs/>
                <w:sz w:val="20"/>
                <w:szCs w:val="20"/>
              </w:rPr>
              <w:t>£’000s</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Upgrade Operating System</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98</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98</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2,091</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2,189</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2,350</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Business Intelligent Solution</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54</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654</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360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196</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1,810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1,810</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Control &amp; Mobilisation System  (CAMS)</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470</w:t>
            </w:r>
          </w:p>
        </w:tc>
        <w:tc>
          <w:tcPr>
            <w:tcW w:w="373" w:type="pct"/>
            <w:tcBorders>
              <w:top w:val="nil"/>
              <w:left w:val="single" w:sz="4" w:space="0" w:color="auto"/>
              <w:bottom w:val="single" w:sz="4" w:space="0" w:color="auto"/>
              <w:right w:val="single" w:sz="4" w:space="0" w:color="auto"/>
            </w:tcBorders>
            <w:vAlign w:val="center"/>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470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vAlign w:val="center"/>
            <w:hideMark/>
          </w:tcPr>
          <w:p w:rsidR="00807719" w:rsidRDefault="00807719">
            <w:pPr>
              <w:spacing w:before="40" w:after="40"/>
              <w:jc w:val="right"/>
              <w:rPr>
                <w:bCs/>
                <w:sz w:val="20"/>
                <w:szCs w:val="20"/>
              </w:rPr>
            </w:pPr>
            <w:r>
              <w:rPr>
                <w:bCs/>
                <w:sz w:val="20"/>
                <w:szCs w:val="20"/>
              </w:rPr>
              <w:t>9,013</w:t>
            </w:r>
          </w:p>
        </w:tc>
        <w:tc>
          <w:tcPr>
            <w:tcW w:w="373" w:type="pct"/>
            <w:tcBorders>
              <w:top w:val="nil"/>
              <w:left w:val="single" w:sz="4" w:space="0" w:color="auto"/>
              <w:bottom w:val="single" w:sz="4" w:space="0" w:color="auto"/>
              <w:right w:val="single" w:sz="4" w:space="0" w:color="auto"/>
            </w:tcBorders>
            <w:vAlign w:val="center"/>
            <w:hideMark/>
          </w:tcPr>
          <w:p w:rsidR="00807719" w:rsidRDefault="00807719">
            <w:pPr>
              <w:spacing w:before="40" w:after="40"/>
              <w:jc w:val="right"/>
              <w:rPr>
                <w:bCs/>
                <w:sz w:val="20"/>
                <w:szCs w:val="20"/>
              </w:rPr>
            </w:pPr>
            <w:r>
              <w:rPr>
                <w:bCs/>
                <w:sz w:val="20"/>
                <w:szCs w:val="20"/>
              </w:rPr>
              <w:t>9,483</w:t>
            </w:r>
          </w:p>
        </w:tc>
        <w:tc>
          <w:tcPr>
            <w:tcW w:w="373" w:type="pct"/>
            <w:tcBorders>
              <w:top w:val="nil"/>
              <w:left w:val="single" w:sz="4" w:space="0" w:color="auto"/>
              <w:bottom w:val="single" w:sz="4" w:space="0" w:color="auto"/>
              <w:right w:val="single" w:sz="4" w:space="0" w:color="auto"/>
            </w:tcBorders>
            <w:vAlign w:val="center"/>
            <w:hideMark/>
          </w:tcPr>
          <w:p w:rsidR="00807719" w:rsidRDefault="00807719">
            <w:pPr>
              <w:spacing w:before="40" w:after="40"/>
              <w:jc w:val="right"/>
              <w:rPr>
                <w:bCs/>
                <w:sz w:val="20"/>
                <w:szCs w:val="20"/>
              </w:rPr>
            </w:pPr>
            <w:r>
              <w:rPr>
                <w:bCs/>
                <w:sz w:val="20"/>
                <w:szCs w:val="20"/>
              </w:rPr>
              <w:t>10,650</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Mobile Data Terminals Replacement</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71</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71</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2,029</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2,100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2,100</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Replacement of the incident grounds communications</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1,300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1,800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1,800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Q4    18-19</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Home Fire Safety Database (linked to Farynor Project)</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130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130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130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Replacement of laptops (FEP2462)</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45</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45</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358</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403</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450</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Public Services Network</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707</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707</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707</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Q4    16-17</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hideMark/>
          </w:tcPr>
          <w:p w:rsidR="00807719" w:rsidRDefault="00807719">
            <w:pPr>
              <w:spacing w:before="40" w:after="40"/>
              <w:rPr>
                <w:bCs/>
                <w:sz w:val="20"/>
                <w:szCs w:val="20"/>
              </w:rPr>
            </w:pPr>
            <w:r>
              <w:rPr>
                <w:bCs/>
                <w:sz w:val="20"/>
                <w:szCs w:val="20"/>
              </w:rPr>
              <w:t>ICT – Accident (event) reporting solution</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62</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62</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68</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130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130</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hideMark/>
          </w:tcPr>
          <w:p w:rsidR="00807719" w:rsidRDefault="00807719">
            <w:pPr>
              <w:spacing w:before="40" w:after="40"/>
              <w:rPr>
                <w:bCs/>
                <w:sz w:val="20"/>
                <w:szCs w:val="20"/>
              </w:rPr>
            </w:pPr>
            <w:r>
              <w:rPr>
                <w:bCs/>
                <w:sz w:val="20"/>
                <w:szCs w:val="20"/>
              </w:rPr>
              <w:t>Online Payment Facility</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Q4    17-18</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ICT – Virtual Desktop Technology</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250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250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250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New telephone system equipment</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42</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42</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115</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157</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157</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New computer terminals</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41</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41</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28</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69</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75</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Netscaller Replacement</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Core Network 6509 Replacement</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1,900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1,900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Core Switch Modules</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300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300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300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Network Access Switches 3650 Replacement</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750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750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Wireless Access Points</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853</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853</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853</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 xml:space="preserve">Data Centre Switches 3750 Replacement </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104</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104</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104</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 xml:space="preserve">Station Network Rewires </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200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New ISP</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New WAN</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 xml:space="preserve">VM Server Environment Hosts </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 xml:space="preserve">Network Storage </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750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750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750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 xml:space="preserve">Replacement of laptops </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563</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563</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 xml:space="preserve">New computer terminals  - Thin Client </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1,150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1,150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 xml:space="preserve">New audio visual equip for Stations </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 xml:space="preserve">New computer terminals  - Fat Client </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Data transfer system for Joint Emergency Services Interoperability Programme</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195</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195</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71</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266</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266</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Farynor Replacement (linked to ICT Home Fire Safety Database Project)</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700</w:t>
            </w:r>
          </w:p>
        </w:tc>
        <w:tc>
          <w:tcPr>
            <w:tcW w:w="373" w:type="pct"/>
            <w:tcBorders>
              <w:top w:val="nil"/>
              <w:left w:val="single" w:sz="4" w:space="0" w:color="auto"/>
              <w:bottom w:val="single" w:sz="4" w:space="0" w:color="auto"/>
              <w:right w:val="single" w:sz="4" w:space="0" w:color="auto"/>
            </w:tcBorders>
            <w:vAlign w:val="center"/>
            <w:hideMark/>
          </w:tcPr>
          <w:p w:rsidR="00807719" w:rsidRDefault="00807719">
            <w:pPr>
              <w:spacing w:before="40" w:after="40"/>
              <w:jc w:val="right"/>
              <w:rPr>
                <w:bCs/>
                <w:sz w:val="20"/>
                <w:szCs w:val="20"/>
              </w:rPr>
            </w:pPr>
            <w:r>
              <w:rPr>
                <w:bCs/>
                <w:sz w:val="20"/>
                <w:szCs w:val="20"/>
              </w:rPr>
              <w:t>50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750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750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£100k fees</w:t>
            </w:r>
          </w:p>
        </w:tc>
      </w:tr>
      <w:tr w:rsidR="00807719" w:rsidTr="00807719">
        <w:trPr>
          <w:cantSplit/>
          <w:trHeight w:val="19"/>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Business Management System (PMF)</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215</w:t>
            </w:r>
          </w:p>
        </w:tc>
        <w:tc>
          <w:tcPr>
            <w:tcW w:w="373" w:type="pct"/>
            <w:tcBorders>
              <w:top w:val="nil"/>
              <w:left w:val="single" w:sz="4" w:space="0" w:color="auto"/>
              <w:bottom w:val="single" w:sz="4" w:space="0" w:color="auto"/>
              <w:right w:val="single" w:sz="4" w:space="0" w:color="auto"/>
            </w:tcBorders>
            <w:vAlign w:val="center"/>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(215)</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215</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215</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363"/>
          <w:jc w:val="center"/>
        </w:trPr>
        <w:tc>
          <w:tcPr>
            <w:tcW w:w="1192" w:type="pct"/>
            <w:tcBorders>
              <w:top w:val="nil"/>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ICT Projects Over programming/to be allocated</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(2,207)</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tcPr>
          <w:p w:rsidR="00807719" w:rsidRDefault="00807719">
            <w:pPr>
              <w:spacing w:before="40" w:after="40"/>
              <w:jc w:val="right"/>
              <w:rPr>
                <w:bCs/>
                <w:sz w:val="20"/>
                <w:szCs w:val="20"/>
              </w:rPr>
            </w:pPr>
            <w:r>
              <w:rPr>
                <w:bCs/>
                <w:sz w:val="20"/>
                <w:szCs w:val="20"/>
              </w:rPr>
              <w:t>0</w:t>
            </w:r>
          </w:p>
          <w:p w:rsidR="00807719" w:rsidRDefault="00807719">
            <w:pPr>
              <w:spacing w:before="40" w:after="40"/>
              <w:jc w:val="right"/>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(2,207)</w:t>
            </w:r>
          </w:p>
        </w:tc>
        <w:tc>
          <w:tcPr>
            <w:tcW w:w="76" w:type="pct"/>
            <w:tcBorders>
              <w:top w:val="nil"/>
              <w:left w:val="single" w:sz="4" w:space="0" w:color="auto"/>
              <w:bottom w:val="single" w:sz="4" w:space="0" w:color="auto"/>
              <w:right w:val="single" w:sz="4" w:space="0" w:color="auto"/>
            </w:tcBorders>
          </w:tcPr>
          <w:p w:rsidR="00807719" w:rsidRDefault="00807719">
            <w:pPr>
              <w:spacing w:before="40" w:after="40"/>
              <w:rPr>
                <w:bCs/>
                <w:sz w:val="20"/>
                <w:szCs w:val="20"/>
              </w:rPr>
            </w:pP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(2,913)</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(1,750)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2,000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(4,870)</w:t>
            </w:r>
          </w:p>
        </w:tc>
        <w:tc>
          <w:tcPr>
            <w:tcW w:w="373" w:type="pct"/>
            <w:tcBorders>
              <w:top w:val="nil"/>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CD0AF0">
        <w:trPr>
          <w:cantSplit/>
          <w:trHeight w:val="607"/>
          <w:jc w:val="center"/>
        </w:trPr>
        <w:tc>
          <w:tcPr>
            <w:tcW w:w="1192"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07719" w:rsidRDefault="00807719">
            <w:pPr>
              <w:spacing w:before="40" w:after="40"/>
              <w:rPr>
                <w:bCs/>
                <w:sz w:val="20"/>
                <w:szCs w:val="20"/>
              </w:rPr>
            </w:pPr>
            <w:r>
              <w:rPr>
                <w:b/>
                <w:bCs/>
                <w:sz w:val="20"/>
                <w:szCs w:val="20"/>
              </w:rPr>
              <w:t>ICT PROJECTS</w:t>
            </w:r>
          </w:p>
        </w:tc>
        <w:tc>
          <w:tcPr>
            <w:tcW w:w="373" w:type="pct"/>
            <w:tcBorders>
              <w:top w:val="nil"/>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4,611</w:t>
            </w:r>
          </w:p>
        </w:tc>
        <w:tc>
          <w:tcPr>
            <w:tcW w:w="373" w:type="pct"/>
            <w:tcBorders>
              <w:top w:val="nil"/>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highlight w:val="yellow"/>
              </w:rPr>
            </w:pPr>
            <w:r>
              <w:rPr>
                <w:b/>
                <w:bCs/>
                <w:sz w:val="20"/>
                <w:szCs w:val="20"/>
              </w:rPr>
              <w:t>489</w:t>
            </w:r>
          </w:p>
        </w:tc>
        <w:tc>
          <w:tcPr>
            <w:tcW w:w="373" w:type="pct"/>
            <w:tcBorders>
              <w:top w:val="nil"/>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285</w:t>
            </w:r>
          </w:p>
        </w:tc>
        <w:tc>
          <w:tcPr>
            <w:tcW w:w="373" w:type="pct"/>
            <w:tcBorders>
              <w:top w:val="nil"/>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5,385</w:t>
            </w:r>
          </w:p>
        </w:tc>
        <w:tc>
          <w:tcPr>
            <w:tcW w:w="76" w:type="pct"/>
            <w:tcBorders>
              <w:top w:val="nil"/>
              <w:left w:val="single" w:sz="4" w:space="0" w:color="auto"/>
              <w:bottom w:val="single" w:sz="4" w:space="0" w:color="auto"/>
              <w:right w:val="single" w:sz="4" w:space="0" w:color="auto"/>
            </w:tcBorders>
            <w:shd w:val="clear" w:color="auto" w:fill="BFBFBF" w:themeFill="background1" w:themeFillShade="BF"/>
          </w:tcPr>
          <w:p w:rsidR="00807719" w:rsidRDefault="00807719">
            <w:pPr>
              <w:spacing w:before="40" w:after="40"/>
              <w:jc w:val="right"/>
              <w:rPr>
                <w:b/>
                <w:bCs/>
                <w:sz w:val="20"/>
                <w:szCs w:val="20"/>
              </w:rPr>
            </w:pPr>
          </w:p>
        </w:tc>
        <w:tc>
          <w:tcPr>
            <w:tcW w:w="373" w:type="pct"/>
            <w:tcBorders>
              <w:top w:val="nil"/>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815</w:t>
            </w:r>
          </w:p>
        </w:tc>
        <w:tc>
          <w:tcPr>
            <w:tcW w:w="373" w:type="pct"/>
            <w:tcBorders>
              <w:top w:val="nil"/>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2,360</w:t>
            </w:r>
          </w:p>
        </w:tc>
        <w:tc>
          <w:tcPr>
            <w:tcW w:w="373" w:type="pct"/>
            <w:tcBorders>
              <w:top w:val="nil"/>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2,000</w:t>
            </w:r>
          </w:p>
        </w:tc>
        <w:tc>
          <w:tcPr>
            <w:tcW w:w="373" w:type="pct"/>
            <w:tcBorders>
              <w:top w:val="nil"/>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13,969</w:t>
            </w:r>
          </w:p>
        </w:tc>
        <w:tc>
          <w:tcPr>
            <w:tcW w:w="373" w:type="pct"/>
            <w:tcBorders>
              <w:top w:val="nil"/>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24,529</w:t>
            </w:r>
          </w:p>
        </w:tc>
        <w:tc>
          <w:tcPr>
            <w:tcW w:w="373" w:type="pct"/>
            <w:tcBorders>
              <w:top w:val="nil"/>
              <w:left w:val="single" w:sz="4" w:space="0" w:color="auto"/>
              <w:bottom w:val="single" w:sz="4" w:space="0" w:color="auto"/>
              <w:right w:val="single" w:sz="4" w:space="0" w:color="auto"/>
            </w:tcBorders>
            <w:shd w:val="clear" w:color="auto" w:fill="BFBFBF" w:themeFill="background1" w:themeFillShade="BF"/>
          </w:tcPr>
          <w:p w:rsidR="00807719" w:rsidRDefault="00807719">
            <w:pPr>
              <w:spacing w:before="40" w:after="40"/>
              <w:jc w:val="right"/>
              <w:rPr>
                <w:b/>
                <w:bCs/>
                <w:sz w:val="20"/>
                <w:szCs w:val="20"/>
              </w:rPr>
            </w:pPr>
          </w:p>
        </w:tc>
      </w:tr>
      <w:tr w:rsidR="00807719" w:rsidTr="00CD0AF0">
        <w:trPr>
          <w:cantSplit/>
          <w:trHeight w:val="19"/>
          <w:jc w:val="center"/>
        </w:trPr>
        <w:tc>
          <w:tcPr>
            <w:tcW w:w="119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807719" w:rsidRDefault="00807719">
            <w:pPr>
              <w:spacing w:before="40" w:after="40"/>
              <w:rPr>
                <w:b/>
                <w:bCs/>
                <w:sz w:val="20"/>
                <w:szCs w:val="20"/>
              </w:rPr>
            </w:pPr>
            <w:r>
              <w:rPr>
                <w:sz w:val="20"/>
                <w:szCs w:val="20"/>
              </w:rPr>
              <w:br w:type="page"/>
            </w:r>
            <w:r>
              <w:rPr>
                <w:b/>
                <w:bCs/>
                <w:sz w:val="20"/>
                <w:szCs w:val="20"/>
              </w:rPr>
              <w:t>ESTATE PROJECTS</w:t>
            </w:r>
          </w:p>
        </w:tc>
        <w:tc>
          <w:tcPr>
            <w:tcW w:w="373" w:type="pct"/>
            <w:tcBorders>
              <w:top w:val="nil"/>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
                <w:bCs/>
                <w:sz w:val="20"/>
                <w:szCs w:val="20"/>
              </w:rPr>
            </w:pPr>
          </w:p>
        </w:tc>
        <w:tc>
          <w:tcPr>
            <w:tcW w:w="373" w:type="pct"/>
            <w:tcBorders>
              <w:top w:val="nil"/>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
                <w:bCs/>
                <w:sz w:val="20"/>
                <w:szCs w:val="20"/>
                <w:highlight w:val="yellow"/>
              </w:rPr>
            </w:pPr>
          </w:p>
        </w:tc>
        <w:tc>
          <w:tcPr>
            <w:tcW w:w="373" w:type="pct"/>
            <w:tcBorders>
              <w:top w:val="nil"/>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
                <w:bCs/>
                <w:sz w:val="20"/>
                <w:szCs w:val="20"/>
              </w:rPr>
            </w:pPr>
          </w:p>
        </w:tc>
        <w:tc>
          <w:tcPr>
            <w:tcW w:w="373" w:type="pct"/>
            <w:tcBorders>
              <w:top w:val="nil"/>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
                <w:bCs/>
                <w:sz w:val="20"/>
                <w:szCs w:val="20"/>
              </w:rPr>
            </w:pPr>
          </w:p>
        </w:tc>
        <w:tc>
          <w:tcPr>
            <w:tcW w:w="76" w:type="pct"/>
            <w:tcBorders>
              <w:top w:val="nil"/>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
                <w:bCs/>
                <w:sz w:val="20"/>
                <w:szCs w:val="20"/>
              </w:rPr>
            </w:pPr>
          </w:p>
        </w:tc>
        <w:tc>
          <w:tcPr>
            <w:tcW w:w="373" w:type="pct"/>
            <w:tcBorders>
              <w:top w:val="nil"/>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
                <w:bCs/>
                <w:sz w:val="20"/>
                <w:szCs w:val="20"/>
              </w:rPr>
            </w:pPr>
          </w:p>
        </w:tc>
        <w:tc>
          <w:tcPr>
            <w:tcW w:w="373" w:type="pct"/>
            <w:tcBorders>
              <w:top w:val="nil"/>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
                <w:bCs/>
                <w:sz w:val="20"/>
                <w:szCs w:val="20"/>
              </w:rPr>
            </w:pPr>
          </w:p>
        </w:tc>
        <w:tc>
          <w:tcPr>
            <w:tcW w:w="373" w:type="pct"/>
            <w:tcBorders>
              <w:top w:val="nil"/>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
                <w:bCs/>
                <w:sz w:val="20"/>
                <w:szCs w:val="20"/>
              </w:rPr>
            </w:pPr>
          </w:p>
        </w:tc>
        <w:tc>
          <w:tcPr>
            <w:tcW w:w="373" w:type="pct"/>
            <w:tcBorders>
              <w:top w:val="nil"/>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
                <w:bCs/>
                <w:sz w:val="20"/>
                <w:szCs w:val="20"/>
              </w:rPr>
            </w:pPr>
          </w:p>
        </w:tc>
        <w:tc>
          <w:tcPr>
            <w:tcW w:w="373" w:type="pct"/>
            <w:tcBorders>
              <w:top w:val="nil"/>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
                <w:bCs/>
                <w:sz w:val="20"/>
                <w:szCs w:val="20"/>
              </w:rPr>
            </w:pPr>
          </w:p>
        </w:tc>
        <w:tc>
          <w:tcPr>
            <w:tcW w:w="373" w:type="pct"/>
            <w:tcBorders>
              <w:top w:val="nil"/>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
                <w:bCs/>
                <w:sz w:val="20"/>
                <w:szCs w:val="20"/>
              </w:rPr>
            </w:pP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0"/>
              <w:rPr>
                <w:b/>
                <w:bCs/>
                <w:sz w:val="20"/>
                <w:szCs w:val="20"/>
              </w:rPr>
            </w:pPr>
            <w:r>
              <w:rPr>
                <w:bCs/>
                <w:sz w:val="20"/>
                <w:szCs w:val="20"/>
              </w:rPr>
              <w:t>Fire Station Refurbishment (Middx FS)</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0"/>
              <w:jc w:val="right"/>
              <w:rPr>
                <w:bCs/>
                <w:sz w:val="20"/>
                <w:szCs w:val="20"/>
              </w:rPr>
            </w:pPr>
            <w:r>
              <w:rPr>
                <w:bCs/>
                <w:sz w:val="20"/>
                <w:szCs w:val="20"/>
              </w:rPr>
              <w:t>100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0"/>
              <w:jc w:val="right"/>
              <w:rPr>
                <w:bCs/>
                <w:sz w:val="20"/>
                <w:szCs w:val="20"/>
              </w:rPr>
            </w:pPr>
            <w:r>
              <w:rPr>
                <w:bCs/>
                <w:sz w:val="20"/>
                <w:szCs w:val="20"/>
              </w:rPr>
              <w:t>100</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100" w:after="0" w:line="276" w:lineRule="auto"/>
              <w:jc w:val="right"/>
              <w:rPr>
                <w:bCs/>
                <w:sz w:val="20"/>
                <w:szCs w:val="20"/>
              </w:rPr>
            </w:pPr>
            <w:r>
              <w:rPr>
                <w:bCs/>
                <w:sz w:val="20"/>
                <w:szCs w:val="20"/>
              </w:rPr>
              <w:t>1,167</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100" w:after="0"/>
              <w:jc w:val="right"/>
              <w:rPr>
                <w:bCs/>
                <w:sz w:val="20"/>
                <w:szCs w:val="20"/>
              </w:rPr>
            </w:pPr>
            <w:r>
              <w:rPr>
                <w:bCs/>
                <w:sz w:val="20"/>
                <w:szCs w:val="20"/>
              </w:rPr>
              <w:t>2,000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100" w:after="0"/>
              <w:jc w:val="right"/>
              <w:rPr>
                <w:bCs/>
                <w:sz w:val="20"/>
                <w:szCs w:val="20"/>
              </w:rPr>
            </w:pPr>
            <w:r>
              <w:rPr>
                <w:bCs/>
                <w:sz w:val="20"/>
                <w:szCs w:val="20"/>
              </w:rPr>
              <w:t>5,260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100" w:after="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100" w:after="0"/>
              <w:jc w:val="right"/>
              <w:rPr>
                <w:bCs/>
                <w:sz w:val="20"/>
                <w:szCs w:val="20"/>
              </w:rPr>
            </w:pPr>
            <w:r>
              <w:rPr>
                <w:bCs/>
                <w:sz w:val="20"/>
                <w:szCs w:val="20"/>
              </w:rPr>
              <w:t>3,267</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100" w:after="0"/>
              <w:jc w:val="right"/>
              <w:rPr>
                <w:bCs/>
                <w:sz w:val="20"/>
                <w:szCs w:val="20"/>
              </w:rPr>
            </w:pPr>
            <w:r>
              <w:rPr>
                <w:bCs/>
                <w:sz w:val="20"/>
                <w:szCs w:val="20"/>
              </w:rPr>
              <w:t>n/a</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Workplace Improvement Plan (WIP) Union Street</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60</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107</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240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240</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 xml:space="preserve">Plumstead Fire Station Redevelopment </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1,500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1,500</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4,350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147</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LFB Museum – Fit</w:t>
            </w:r>
            <w:r w:rsidR="00557851">
              <w:rPr>
                <w:bCs/>
                <w:sz w:val="20"/>
                <w:szCs w:val="20"/>
              </w:rPr>
              <w:t>-</w:t>
            </w:r>
            <w:r>
              <w:rPr>
                <w:bCs/>
                <w:sz w:val="20"/>
                <w:szCs w:val="20"/>
              </w:rPr>
              <w:t>out</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30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30</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2,352</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18</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2,400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2,400</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 xml:space="preserve">Refurbishment of Edmonton Fire Station </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100</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center"/>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890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990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Mar 2018</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Heating at various stations</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1,350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61</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1,411</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1,350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1,350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1,350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Window replacement at various stations</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110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510</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Rewiring of property at various fire stations</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600</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
                <w:bCs/>
                <w:sz w:val="20"/>
                <w:szCs w:val="20"/>
              </w:rPr>
            </w:pPr>
            <w:r>
              <w:rPr>
                <w:bCs/>
                <w:sz w:val="20"/>
                <w:szCs w:val="20"/>
              </w:rPr>
              <w:t>Minor Improvement Programme</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1,467</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476</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1,943</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1,300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1,300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1,300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Appliance Bay Doors (Phase 3)</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475</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188</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663</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Brigade wide Survey for Asbestos &amp; Removal</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bCs/>
                <w:sz w:val="20"/>
                <w:szCs w:val="20"/>
              </w:rPr>
            </w:pPr>
            <w:r>
              <w:rPr>
                <w:bCs/>
                <w:sz w:val="20"/>
                <w:szCs w:val="20"/>
              </w:rPr>
              <w:t>50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bCs/>
                <w:sz w:val="20"/>
                <w:szCs w:val="20"/>
              </w:rPr>
            </w:pPr>
            <w:r>
              <w:rPr>
                <w:bCs/>
                <w:sz w:val="20"/>
                <w:szCs w:val="20"/>
              </w:rPr>
              <w:t>50</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after="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bCs/>
                <w:sz w:val="20"/>
                <w:szCs w:val="20"/>
              </w:rPr>
            </w:pPr>
            <w:r>
              <w:rPr>
                <w:bCs/>
                <w:sz w:val="20"/>
                <w:szCs w:val="20"/>
              </w:rPr>
              <w:t>50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bCs/>
                <w:sz w:val="20"/>
                <w:szCs w:val="20"/>
              </w:rPr>
            </w:pPr>
            <w:r>
              <w:rPr>
                <w:bCs/>
                <w:sz w:val="20"/>
                <w:szCs w:val="20"/>
              </w:rPr>
              <w:t>50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bCs/>
                <w:sz w:val="20"/>
                <w:szCs w:val="20"/>
              </w:rPr>
            </w:pPr>
            <w:r>
              <w:rPr>
                <w:bCs/>
                <w:sz w:val="20"/>
                <w:szCs w:val="20"/>
              </w:rPr>
              <w:t>50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sz w:val="20"/>
                <w:szCs w:val="20"/>
              </w:rPr>
            </w:pPr>
            <w:r>
              <w:rPr>
                <w:bCs/>
                <w:sz w:val="20"/>
                <w:szCs w:val="20"/>
              </w:rPr>
              <w:t>n/a</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Fire Safety Works at Fire Stations</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bCs/>
                <w:sz w:val="20"/>
                <w:szCs w:val="20"/>
              </w:rPr>
            </w:pPr>
            <w:r>
              <w:rPr>
                <w:bCs/>
                <w:sz w:val="20"/>
                <w:szCs w:val="20"/>
              </w:rPr>
              <w:t>47</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bCs/>
                <w:sz w:val="20"/>
                <w:szCs w:val="20"/>
              </w:rPr>
            </w:pPr>
            <w:r>
              <w:rPr>
                <w:bCs/>
                <w:sz w:val="20"/>
                <w:szCs w:val="20"/>
              </w:rPr>
              <w:t>47</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after="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after="0"/>
              <w:jc w:val="right"/>
              <w:rPr>
                <w:bCs/>
                <w:sz w:val="20"/>
                <w:szCs w:val="20"/>
              </w:rPr>
            </w:pPr>
            <w:r>
              <w:rPr>
                <w:bCs/>
                <w:sz w:val="20"/>
                <w:szCs w:val="20"/>
              </w:rPr>
              <w:t>n/a</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Forecourts/Rear yards Refurbishment</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51</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51</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Improve Security at all Fire Stations, Offices &amp; HQ</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100</w:t>
            </w:r>
          </w:p>
        </w:tc>
        <w:tc>
          <w:tcPr>
            <w:tcW w:w="373" w:type="pct"/>
            <w:tcBorders>
              <w:top w:val="single" w:sz="4" w:space="0" w:color="auto"/>
              <w:left w:val="single" w:sz="4" w:space="0" w:color="auto"/>
              <w:bottom w:val="single" w:sz="4" w:space="0" w:color="auto"/>
              <w:right w:val="single" w:sz="4" w:space="0" w:color="auto"/>
            </w:tcBorders>
            <w:vAlign w:val="center"/>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100</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1,255</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1,250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2,605</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New Training Centre *</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7,374</w:t>
            </w:r>
          </w:p>
        </w:tc>
        <w:tc>
          <w:tcPr>
            <w:tcW w:w="373" w:type="pct"/>
            <w:tcBorders>
              <w:top w:val="single" w:sz="4" w:space="0" w:color="auto"/>
              <w:left w:val="single" w:sz="4" w:space="0" w:color="auto"/>
              <w:bottom w:val="single" w:sz="4" w:space="0" w:color="auto"/>
              <w:right w:val="single" w:sz="4" w:space="0" w:color="auto"/>
            </w:tcBorders>
            <w:vAlign w:val="center"/>
            <w:hideMark/>
          </w:tcPr>
          <w:p w:rsidR="00807719" w:rsidRDefault="00807719">
            <w:pPr>
              <w:spacing w:before="40" w:after="40"/>
              <w:jc w:val="right"/>
              <w:rPr>
                <w:bCs/>
                <w:sz w:val="20"/>
                <w:szCs w:val="20"/>
              </w:rPr>
            </w:pPr>
            <w:r>
              <w:rPr>
                <w:bCs/>
                <w:sz w:val="20"/>
                <w:szCs w:val="20"/>
              </w:rPr>
              <w:t>71</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7,445</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6,872</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737</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446</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15,500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15,500</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PEG/BDC Development</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3,610</w:t>
            </w:r>
          </w:p>
        </w:tc>
        <w:tc>
          <w:tcPr>
            <w:tcW w:w="373" w:type="pct"/>
            <w:tcBorders>
              <w:top w:val="single" w:sz="4" w:space="0" w:color="auto"/>
              <w:left w:val="single" w:sz="4" w:space="0" w:color="auto"/>
              <w:bottom w:val="single" w:sz="4" w:space="0" w:color="auto"/>
              <w:right w:val="single" w:sz="4" w:space="0" w:color="auto"/>
            </w:tcBorders>
            <w:vAlign w:val="center"/>
            <w:hideMark/>
          </w:tcPr>
          <w:p w:rsidR="00807719" w:rsidRDefault="00807719">
            <w:pPr>
              <w:spacing w:before="40" w:after="40"/>
              <w:jc w:val="right"/>
              <w:rPr>
                <w:bCs/>
                <w:sz w:val="20"/>
                <w:szCs w:val="20"/>
              </w:rPr>
            </w:pPr>
            <w:r>
              <w:rPr>
                <w:bCs/>
                <w:sz w:val="20"/>
                <w:szCs w:val="20"/>
              </w:rPr>
              <w:t>123</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3,733</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217</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4,000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4,000</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West Hampstead Cottages Refurb (FEP2776)</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670</w:t>
            </w:r>
          </w:p>
        </w:tc>
        <w:tc>
          <w:tcPr>
            <w:tcW w:w="373" w:type="pct"/>
            <w:tcBorders>
              <w:top w:val="single" w:sz="4" w:space="0" w:color="auto"/>
              <w:left w:val="single" w:sz="4" w:space="0" w:color="auto"/>
              <w:bottom w:val="single" w:sz="4" w:space="0" w:color="auto"/>
              <w:right w:val="single" w:sz="4" w:space="0" w:color="auto"/>
            </w:tcBorders>
            <w:vAlign w:val="center"/>
            <w:hideMark/>
          </w:tcPr>
          <w:p w:rsidR="00807719" w:rsidRDefault="00807719">
            <w:pPr>
              <w:spacing w:before="40" w:after="40"/>
              <w:jc w:val="right"/>
              <w:rPr>
                <w:bCs/>
                <w:sz w:val="20"/>
                <w:szCs w:val="20"/>
              </w:rPr>
            </w:pPr>
            <w:r>
              <w:rPr>
                <w:bCs/>
                <w:sz w:val="20"/>
                <w:szCs w:val="20"/>
              </w:rPr>
              <w:t>16</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686</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30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720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720</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Development costs</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250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250</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250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250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250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n/a</w:t>
            </w:r>
          </w:p>
        </w:tc>
      </w:tr>
      <w:tr w:rsidR="00807719" w:rsidTr="00CD0AF0">
        <w:trPr>
          <w:cantSplit/>
          <w:trHeight w:val="19"/>
          <w:jc w:val="center"/>
        </w:trPr>
        <w:tc>
          <w:tcPr>
            <w:tcW w:w="119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7719" w:rsidRDefault="00807719">
            <w:pPr>
              <w:spacing w:before="40" w:after="40"/>
              <w:rPr>
                <w:bCs/>
                <w:sz w:val="20"/>
                <w:szCs w:val="20"/>
              </w:rPr>
            </w:pPr>
            <w:r>
              <w:rPr>
                <w:b/>
                <w:bCs/>
                <w:sz w:val="20"/>
                <w:szCs w:val="20"/>
              </w:rPr>
              <w:t>ESTATE PROJECTS</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18,123</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07719" w:rsidRDefault="00807719">
            <w:pPr>
              <w:spacing w:before="40" w:after="40"/>
              <w:jc w:val="right"/>
              <w:rPr>
                <w:b/>
                <w:bCs/>
                <w:sz w:val="20"/>
                <w:szCs w:val="20"/>
              </w:rPr>
            </w:pPr>
            <w:r>
              <w:rPr>
                <w:b/>
                <w:bCs/>
                <w:sz w:val="20"/>
                <w:szCs w:val="20"/>
              </w:rPr>
              <w:t>1,156</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0</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19,279</w:t>
            </w:r>
          </w:p>
        </w:tc>
        <w:tc>
          <w:tcPr>
            <w:tcW w:w="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07719" w:rsidRDefault="00807719">
            <w:pPr>
              <w:spacing w:before="40" w:after="40"/>
              <w:jc w:val="right"/>
              <w:rPr>
                <w:b/>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tabs>
                <w:tab w:val="center" w:pos="469"/>
                <w:tab w:val="right" w:pos="938"/>
              </w:tabs>
              <w:spacing w:before="40" w:after="40"/>
              <w:jc w:val="right"/>
              <w:rPr>
                <w:b/>
                <w:bCs/>
                <w:sz w:val="20"/>
                <w:szCs w:val="20"/>
              </w:rPr>
            </w:pPr>
            <w:r>
              <w:rPr>
                <w:b/>
                <w:bCs/>
                <w:sz w:val="20"/>
                <w:szCs w:val="20"/>
              </w:rPr>
              <w:t>21,116</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8,284</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Cs/>
                <w:sz w:val="20"/>
                <w:szCs w:val="20"/>
                <w:highlight w:val="yellow"/>
              </w:rPr>
            </w:pPr>
            <w:r>
              <w:rPr>
                <w:b/>
                <w:bCs/>
                <w:sz w:val="20"/>
                <w:szCs w:val="20"/>
              </w:rPr>
              <w:t>9,410</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07719" w:rsidRDefault="00807719">
            <w:pPr>
              <w:spacing w:before="40" w:after="40"/>
              <w:jc w:val="right"/>
              <w:rPr>
                <w:bCs/>
                <w:sz w:val="20"/>
                <w:szCs w:val="20"/>
                <w:highlight w:val="yellow"/>
              </w:rPr>
            </w:pP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07719" w:rsidRDefault="00807719">
            <w:pPr>
              <w:spacing w:before="40" w:after="40"/>
              <w:jc w:val="right"/>
              <w:rPr>
                <w:bCs/>
                <w:sz w:val="20"/>
                <w:szCs w:val="20"/>
                <w:highlight w:val="yellow"/>
              </w:rPr>
            </w:pP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07719" w:rsidRDefault="00807719">
            <w:pPr>
              <w:spacing w:before="40" w:after="40"/>
              <w:jc w:val="right"/>
              <w:rPr>
                <w:bCs/>
                <w:sz w:val="20"/>
                <w:szCs w:val="20"/>
                <w:highlight w:val="yellow"/>
              </w:rPr>
            </w:pPr>
          </w:p>
        </w:tc>
      </w:tr>
      <w:tr w:rsidR="00807719" w:rsidTr="00CD0AF0">
        <w:trPr>
          <w:cantSplit/>
          <w:trHeight w:val="19"/>
          <w:jc w:val="center"/>
        </w:trPr>
        <w:tc>
          <w:tcPr>
            <w:tcW w:w="119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07719" w:rsidRDefault="00807719">
            <w:pPr>
              <w:spacing w:before="40" w:after="40"/>
              <w:rPr>
                <w:b/>
                <w:bCs/>
                <w:sz w:val="20"/>
                <w:szCs w:val="20"/>
              </w:rPr>
            </w:pPr>
            <w:r>
              <w:rPr>
                <w:b/>
                <w:bCs/>
                <w:sz w:val="20"/>
                <w:szCs w:val="20"/>
              </w:rPr>
              <w:t>FLEET AND EQUIPMENT PROJECTS</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7719" w:rsidRDefault="00807719">
            <w:pPr>
              <w:spacing w:before="40" w:after="40"/>
              <w:jc w:val="right"/>
              <w:rPr>
                <w:b/>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
                <w:bCs/>
                <w:sz w:val="20"/>
                <w:szCs w:val="20"/>
              </w:rPr>
            </w:pPr>
          </w:p>
        </w:tc>
        <w:tc>
          <w:tcPr>
            <w:tcW w:w="76" w:type="pct"/>
            <w:tcBorders>
              <w:top w:val="single" w:sz="4" w:space="0" w:color="auto"/>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rsidR="00807719" w:rsidRDefault="00807719">
            <w:pPr>
              <w:spacing w:before="40" w:after="40"/>
              <w:jc w:val="right"/>
              <w:rPr>
                <w:bCs/>
                <w:sz w:val="20"/>
                <w:szCs w:val="20"/>
              </w:rPr>
            </w:pP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
                <w:bCs/>
                <w:sz w:val="20"/>
                <w:szCs w:val="20"/>
              </w:rPr>
            </w:pPr>
            <w:r>
              <w:rPr>
                <w:bCs/>
                <w:sz w:val="20"/>
                <w:szCs w:val="20"/>
              </w:rPr>
              <w:t xml:space="preserve">Replacement of Fleet and Operational Equipment </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11,535</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1,986</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13,521</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
                <w:bCs/>
                <w:sz w:val="20"/>
                <w:szCs w:val="20"/>
                <w:highlight w:val="yellow"/>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22,510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10,488</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11,680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10,813</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69,012</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sz w:val="20"/>
                <w:szCs w:val="20"/>
              </w:rPr>
              <w:t>Respiratory Protective Equipment</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2,300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2,300</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2,300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TBA</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sz w:val="20"/>
                <w:szCs w:val="20"/>
              </w:rPr>
            </w:pPr>
            <w:r>
              <w:rPr>
                <w:bCs/>
                <w:sz w:val="20"/>
                <w:szCs w:val="20"/>
              </w:rPr>
              <w:t>Early Replacement of ALP &amp; HP*</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3,750</w:t>
            </w:r>
          </w:p>
        </w:tc>
        <w:tc>
          <w:tcPr>
            <w:tcW w:w="373" w:type="pct"/>
            <w:tcBorders>
              <w:top w:val="single" w:sz="4" w:space="0" w:color="auto"/>
              <w:left w:val="single" w:sz="4" w:space="0" w:color="auto"/>
              <w:bottom w:val="single" w:sz="4" w:space="0" w:color="auto"/>
              <w:right w:val="single" w:sz="4" w:space="0" w:color="auto"/>
            </w:tcBorders>
            <w:vAlign w:val="center"/>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3,750</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1,530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5,280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5,280</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sz w:val="20"/>
                <w:szCs w:val="20"/>
              </w:rPr>
            </w:pPr>
            <w:r>
              <w:rPr>
                <w:bCs/>
                <w:sz w:val="20"/>
                <w:szCs w:val="20"/>
              </w:rPr>
              <w:t>CCTV on Pumping Appliances *</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79</w:t>
            </w:r>
          </w:p>
        </w:tc>
        <w:tc>
          <w:tcPr>
            <w:tcW w:w="373" w:type="pct"/>
            <w:tcBorders>
              <w:top w:val="single" w:sz="4" w:space="0" w:color="auto"/>
              <w:left w:val="single" w:sz="4" w:space="0" w:color="auto"/>
              <w:bottom w:val="single" w:sz="4" w:space="0" w:color="auto"/>
              <w:right w:val="single" w:sz="4" w:space="0" w:color="auto"/>
            </w:tcBorders>
            <w:vAlign w:val="center"/>
            <w:hideMark/>
          </w:tcPr>
          <w:p w:rsidR="00807719" w:rsidRDefault="00807719">
            <w:pPr>
              <w:spacing w:before="40" w:after="40"/>
              <w:jc w:val="right"/>
              <w:rPr>
                <w:bCs/>
                <w:sz w:val="20"/>
                <w:szCs w:val="20"/>
              </w:rPr>
            </w:pPr>
            <w:r>
              <w:rPr>
                <w:bCs/>
                <w:sz w:val="20"/>
                <w:szCs w:val="20"/>
              </w:rPr>
              <w:t>290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369</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115</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484</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501</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sz w:val="20"/>
                <w:szCs w:val="20"/>
              </w:rPr>
            </w:pPr>
            <w:r>
              <w:rPr>
                <w:bCs/>
                <w:sz w:val="20"/>
                <w:szCs w:val="20"/>
              </w:rPr>
              <w:t>Early Replacement of Fire Boat*</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1,000</w:t>
            </w:r>
          </w:p>
        </w:tc>
        <w:tc>
          <w:tcPr>
            <w:tcW w:w="373" w:type="pct"/>
            <w:tcBorders>
              <w:top w:val="single" w:sz="4" w:space="0" w:color="auto"/>
              <w:left w:val="single" w:sz="4" w:space="0" w:color="auto"/>
              <w:bottom w:val="single" w:sz="4" w:space="0" w:color="auto"/>
              <w:right w:val="single" w:sz="4" w:space="0" w:color="auto"/>
            </w:tcBorders>
            <w:vAlign w:val="center"/>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1,000</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1,250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250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2,520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2,500</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
                <w:bCs/>
                <w:sz w:val="20"/>
                <w:szCs w:val="20"/>
              </w:rPr>
            </w:pPr>
            <w:r>
              <w:rPr>
                <w:bCs/>
                <w:sz w:val="20"/>
                <w:szCs w:val="20"/>
              </w:rPr>
              <w:t>22mm Water Hose and Reel for Appliances *</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vAlign w:val="center"/>
            <w:hideMark/>
          </w:tcPr>
          <w:p w:rsidR="00807719" w:rsidRDefault="00807719">
            <w:pPr>
              <w:spacing w:before="40" w:after="40"/>
              <w:jc w:val="right"/>
              <w:rPr>
                <w:bCs/>
                <w:sz w:val="20"/>
                <w:szCs w:val="20"/>
              </w:rPr>
            </w:pPr>
            <w:r>
              <w:rPr>
                <w:bCs/>
                <w:sz w:val="20"/>
                <w:szCs w:val="20"/>
              </w:rPr>
              <w:t>1,014</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1,014</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ind w:left="25"/>
              <w:jc w:val="right"/>
              <w:rPr>
                <w:b/>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486</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1,500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1,500</w:t>
            </w:r>
          </w:p>
        </w:tc>
      </w:tr>
      <w:tr w:rsidR="00807719" w:rsidTr="00807719">
        <w:trPr>
          <w:cantSplit/>
          <w:trHeight w:val="19"/>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Cs/>
                <w:sz w:val="20"/>
                <w:szCs w:val="20"/>
              </w:rPr>
            </w:pPr>
            <w:r>
              <w:rPr>
                <w:bCs/>
                <w:sz w:val="20"/>
                <w:szCs w:val="20"/>
              </w:rPr>
              <w:t>Vehicle Security *</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vAlign w:val="center"/>
            <w:hideMark/>
          </w:tcPr>
          <w:p w:rsidR="00807719" w:rsidRDefault="00807719">
            <w:pPr>
              <w:spacing w:before="40" w:after="40"/>
              <w:jc w:val="right"/>
              <w:rPr>
                <w:bCs/>
                <w:sz w:val="20"/>
                <w:szCs w:val="20"/>
              </w:rPr>
            </w:pPr>
            <w:r>
              <w:rPr>
                <w:bCs/>
                <w:sz w:val="20"/>
                <w:szCs w:val="20"/>
              </w:rPr>
              <w:t>1,333</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1,333</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ind w:left="25"/>
              <w:jc w:val="right"/>
              <w:rPr>
                <w:b/>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56</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1,389</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1,389</w:t>
            </w:r>
          </w:p>
        </w:tc>
      </w:tr>
      <w:tr w:rsidR="00807719" w:rsidTr="00807719">
        <w:trPr>
          <w:cantSplit/>
          <w:trHeight w:val="71"/>
          <w:jc w:val="center"/>
        </w:trPr>
        <w:tc>
          <w:tcPr>
            <w:tcW w:w="119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7719" w:rsidRDefault="00807719">
            <w:pPr>
              <w:spacing w:before="40" w:after="40"/>
              <w:rPr>
                <w:b/>
                <w:bCs/>
                <w:sz w:val="20"/>
                <w:szCs w:val="20"/>
              </w:rPr>
            </w:pPr>
            <w:r>
              <w:rPr>
                <w:b/>
                <w:bCs/>
                <w:sz w:val="20"/>
                <w:szCs w:val="20"/>
              </w:rPr>
              <w:t>OTHER</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16,364</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07719" w:rsidRDefault="00807719">
            <w:pPr>
              <w:spacing w:before="40" w:after="40"/>
              <w:jc w:val="right"/>
              <w:rPr>
                <w:b/>
                <w:bCs/>
                <w:sz w:val="20"/>
                <w:szCs w:val="20"/>
              </w:rPr>
            </w:pPr>
            <w:r>
              <w:rPr>
                <w:b/>
                <w:bCs/>
                <w:sz w:val="20"/>
                <w:szCs w:val="20"/>
              </w:rPr>
              <w:t>4,623</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2,300</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23,287</w:t>
            </w:r>
          </w:p>
        </w:tc>
        <w:tc>
          <w:tcPr>
            <w:tcW w:w="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07719" w:rsidRDefault="00807719">
            <w:pPr>
              <w:spacing w:before="40" w:after="40"/>
              <w:jc w:val="right"/>
              <w:rPr>
                <w:b/>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25,290</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10,738</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11,680</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11,490</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82,485</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07719" w:rsidRDefault="00807719">
            <w:pPr>
              <w:spacing w:before="40" w:after="40"/>
              <w:jc w:val="right"/>
              <w:rPr>
                <w:bCs/>
                <w:sz w:val="20"/>
                <w:szCs w:val="20"/>
              </w:rPr>
            </w:pPr>
          </w:p>
        </w:tc>
      </w:tr>
      <w:tr w:rsidR="00807719" w:rsidTr="00807719">
        <w:trPr>
          <w:cantSplit/>
          <w:trHeight w:val="71"/>
          <w:jc w:val="center"/>
        </w:trPr>
        <w:tc>
          <w:tcPr>
            <w:tcW w:w="1192" w:type="pct"/>
            <w:tcBorders>
              <w:top w:val="single" w:sz="4" w:space="0" w:color="auto"/>
              <w:left w:val="single" w:sz="4" w:space="0" w:color="auto"/>
              <w:bottom w:val="single" w:sz="4" w:space="0" w:color="auto"/>
              <w:right w:val="single" w:sz="4" w:space="0" w:color="auto"/>
            </w:tcBorders>
            <w:noWrap/>
            <w:vAlign w:val="center"/>
            <w:hideMark/>
          </w:tcPr>
          <w:p w:rsidR="00807719" w:rsidRDefault="00807719">
            <w:pPr>
              <w:spacing w:before="40" w:after="40"/>
              <w:rPr>
                <w:b/>
                <w:bCs/>
                <w:sz w:val="20"/>
                <w:szCs w:val="20"/>
              </w:rPr>
            </w:pPr>
            <w:r>
              <w:rPr>
                <w:bCs/>
                <w:sz w:val="20"/>
                <w:szCs w:val="20"/>
              </w:rPr>
              <w:t>Projected Underspend</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vAlign w:val="center"/>
            <w:hideMark/>
          </w:tcPr>
          <w:p w:rsidR="00807719" w:rsidRDefault="00807719">
            <w:pPr>
              <w:spacing w:before="40" w:after="40"/>
              <w:jc w:val="right"/>
              <w:rPr>
                <w:bCs/>
                <w:sz w:val="20"/>
                <w:szCs w:val="20"/>
              </w:rPr>
            </w:pPr>
            <w:r>
              <w:rPr>
                <w:bCs/>
                <w:sz w:val="20"/>
                <w:szCs w:val="20"/>
              </w:rPr>
              <w:t>(6,686)</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(6,686)</w:t>
            </w:r>
          </w:p>
        </w:tc>
        <w:tc>
          <w:tcPr>
            <w:tcW w:w="76" w:type="pct"/>
            <w:tcBorders>
              <w:top w:val="single" w:sz="4" w:space="0" w:color="auto"/>
              <w:left w:val="single" w:sz="4" w:space="0" w:color="auto"/>
              <w:bottom w:val="single" w:sz="4" w:space="0" w:color="auto"/>
              <w:right w:val="single" w:sz="4" w:space="0" w:color="auto"/>
            </w:tcBorders>
          </w:tcPr>
          <w:p w:rsidR="00807719" w:rsidRDefault="00807719">
            <w:pPr>
              <w:spacing w:before="40" w:after="40"/>
              <w:jc w:val="right"/>
              <w:rPr>
                <w:b/>
                <w:bCs/>
                <w:sz w:val="20"/>
                <w:szCs w:val="20"/>
              </w:rPr>
            </w:pP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
                <w:bCs/>
                <w:sz w:val="20"/>
                <w:szCs w:val="20"/>
              </w:rPr>
            </w:pPr>
            <w:r>
              <w:rPr>
                <w:bCs/>
                <w:sz w:val="20"/>
                <w:szCs w:val="20"/>
              </w:rPr>
              <w:t>0</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
                <w:bCs/>
                <w:sz w:val="20"/>
                <w:szCs w:val="20"/>
              </w:rPr>
            </w:pPr>
            <w:r>
              <w:rPr>
                <w:bCs/>
                <w:sz w:val="20"/>
                <w:szCs w:val="20"/>
              </w:rPr>
              <w:t>(6,686)</w:t>
            </w:r>
          </w:p>
        </w:tc>
        <w:tc>
          <w:tcPr>
            <w:tcW w:w="373" w:type="pct"/>
            <w:tcBorders>
              <w:top w:val="single" w:sz="4" w:space="0" w:color="auto"/>
              <w:left w:val="single" w:sz="4" w:space="0" w:color="auto"/>
              <w:bottom w:val="single" w:sz="4" w:space="0" w:color="auto"/>
              <w:right w:val="single" w:sz="4" w:space="0" w:color="auto"/>
            </w:tcBorders>
            <w:hideMark/>
          </w:tcPr>
          <w:p w:rsidR="00807719" w:rsidRDefault="00807719">
            <w:pPr>
              <w:spacing w:before="40" w:after="40"/>
              <w:jc w:val="right"/>
              <w:rPr>
                <w:b/>
                <w:bCs/>
                <w:sz w:val="20"/>
                <w:szCs w:val="20"/>
              </w:rPr>
            </w:pPr>
            <w:r>
              <w:rPr>
                <w:bCs/>
                <w:sz w:val="20"/>
                <w:szCs w:val="20"/>
              </w:rPr>
              <w:t>n/a</w:t>
            </w:r>
          </w:p>
        </w:tc>
      </w:tr>
      <w:tr w:rsidR="00807719" w:rsidTr="00CD0AF0">
        <w:trPr>
          <w:cantSplit/>
          <w:trHeight w:val="19"/>
          <w:jc w:val="center"/>
        </w:trPr>
        <w:tc>
          <w:tcPr>
            <w:tcW w:w="119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7719" w:rsidRDefault="00807719">
            <w:pPr>
              <w:spacing w:before="40" w:after="40"/>
              <w:rPr>
                <w:b/>
                <w:bCs/>
                <w:sz w:val="20"/>
                <w:szCs w:val="20"/>
              </w:rPr>
            </w:pPr>
            <w:r>
              <w:rPr>
                <w:b/>
                <w:bCs/>
                <w:sz w:val="20"/>
                <w:szCs w:val="20"/>
              </w:rPr>
              <w:t>CAPITAL EXPENDITURE TOTAL</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39,098</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(418)</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2,585</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41,265</w:t>
            </w:r>
          </w:p>
        </w:tc>
        <w:tc>
          <w:tcPr>
            <w:tcW w:w="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07719" w:rsidRDefault="00807719">
            <w:pPr>
              <w:spacing w:before="40" w:after="40"/>
              <w:jc w:val="right"/>
              <w:rPr>
                <w:b/>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47,221</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21,382</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07719" w:rsidRDefault="00807719">
            <w:pPr>
              <w:spacing w:before="40" w:after="40"/>
              <w:jc w:val="right"/>
              <w:rPr>
                <w:b/>
                <w:bCs/>
                <w:sz w:val="20"/>
                <w:szCs w:val="20"/>
              </w:rPr>
            </w:pPr>
            <w:r>
              <w:rPr>
                <w:b/>
                <w:bCs/>
                <w:sz w:val="20"/>
                <w:szCs w:val="20"/>
              </w:rPr>
              <w:t>23,090</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07719" w:rsidRDefault="00807719">
            <w:pPr>
              <w:spacing w:before="40" w:after="40"/>
              <w:jc w:val="right"/>
              <w:rPr>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07719" w:rsidRDefault="00807719">
            <w:pPr>
              <w:spacing w:before="40" w:after="40"/>
              <w:jc w:val="right"/>
              <w:rPr>
                <w:bCs/>
                <w:sz w:val="20"/>
                <w:szCs w:val="20"/>
              </w:rPr>
            </w:pPr>
          </w:p>
        </w:tc>
      </w:tr>
    </w:tbl>
    <w:p w:rsidR="00114559" w:rsidRDefault="00114559" w:rsidP="008F25D4">
      <w:pPr>
        <w:tabs>
          <w:tab w:val="left" w:pos="2921"/>
        </w:tabs>
      </w:pPr>
    </w:p>
    <w:p w:rsidR="00114559" w:rsidRDefault="00114559" w:rsidP="008F25D4">
      <w:pPr>
        <w:tabs>
          <w:tab w:val="left" w:pos="2921"/>
        </w:tabs>
      </w:pPr>
    </w:p>
    <w:p w:rsidR="00114559" w:rsidRDefault="00114559" w:rsidP="008F25D4">
      <w:pPr>
        <w:tabs>
          <w:tab w:val="left" w:pos="2921"/>
        </w:tabs>
        <w:sectPr w:rsidR="00114559" w:rsidSect="0017737B">
          <w:headerReference w:type="default" r:id="rId22"/>
          <w:pgSz w:w="16840" w:h="11907" w:orient="landscape" w:code="9"/>
          <w:pgMar w:top="1134" w:right="1361" w:bottom="1134" w:left="1361" w:header="709" w:footer="476" w:gutter="0"/>
          <w:cols w:space="708"/>
          <w:docGrid w:linePitch="360"/>
        </w:sectPr>
      </w:pPr>
    </w:p>
    <w:p w:rsidR="0001576D" w:rsidRPr="00114123" w:rsidRDefault="0001576D" w:rsidP="0001576D">
      <w:pPr>
        <w:pStyle w:val="ListParagraph"/>
        <w:numPr>
          <w:ilvl w:val="0"/>
          <w:numId w:val="49"/>
        </w:numPr>
        <w:spacing w:after="120" w:line="240" w:lineRule="auto"/>
        <w:ind w:left="567" w:hanging="567"/>
        <w:contextualSpacing w:val="0"/>
        <w:rPr>
          <w:u w:val="single"/>
        </w:rPr>
      </w:pPr>
      <w:r w:rsidRPr="00114123">
        <w:rPr>
          <w:u w:val="single"/>
        </w:rPr>
        <w:t>Property Services</w:t>
      </w:r>
    </w:p>
    <w:p w:rsidR="0001576D" w:rsidRPr="00114123" w:rsidRDefault="0001576D" w:rsidP="0001576D">
      <w:pPr>
        <w:pStyle w:val="ListParagraph"/>
        <w:numPr>
          <w:ilvl w:val="1"/>
          <w:numId w:val="49"/>
        </w:numPr>
        <w:spacing w:after="120" w:line="240" w:lineRule="auto"/>
        <w:ind w:left="567" w:hanging="567"/>
        <w:contextualSpacing w:val="0"/>
      </w:pPr>
      <w:r w:rsidRPr="00114123">
        <w:t>The 2017/18 budget includes £630k of savings from the implementation of the Property Services Integrator, which includes an estimate of savings that can be achieved on LF</w:t>
      </w:r>
      <w:r w:rsidR="00661BE7">
        <w:t>C’s</w:t>
      </w:r>
      <w:r w:rsidRPr="00114123">
        <w:t xml:space="preserve"> supply chain. This saving will be updated once the supply chain has been fully costed </w:t>
      </w:r>
      <w:r w:rsidR="009A52F4">
        <w:t>once the</w:t>
      </w:r>
      <w:r w:rsidR="009A52F4" w:rsidRPr="00114123">
        <w:t xml:space="preserve"> </w:t>
      </w:r>
      <w:r w:rsidRPr="00114123">
        <w:t>mobilisation phase is completed</w:t>
      </w:r>
      <w:r w:rsidR="00E2397E" w:rsidRPr="00114123">
        <w:t xml:space="preserve">, with final contracts in </w:t>
      </w:r>
      <w:r w:rsidR="009A52F4">
        <w:t xml:space="preserve">place in </w:t>
      </w:r>
      <w:r w:rsidR="00E2397E" w:rsidRPr="00114123">
        <w:t>2018/19</w:t>
      </w:r>
      <w:r w:rsidRPr="00114123">
        <w:t xml:space="preserve">. The savings target is based on an average saving each year to meet the overall savings target agreed over the contract life. </w:t>
      </w:r>
      <w:r w:rsidRPr="00114123">
        <w:rPr>
          <w:iCs/>
        </w:rPr>
        <w:t xml:space="preserve">It should be noted that a growth bid </w:t>
      </w:r>
      <w:r w:rsidR="00E2397E" w:rsidRPr="00114123">
        <w:rPr>
          <w:iCs/>
        </w:rPr>
        <w:t>is expected to be required</w:t>
      </w:r>
      <w:r w:rsidRPr="00114123">
        <w:rPr>
          <w:iCs/>
        </w:rPr>
        <w:t xml:space="preserve"> as the costs for the mechanical, electrical and plumbing</w:t>
      </w:r>
      <w:r w:rsidR="00B9503B">
        <w:rPr>
          <w:iCs/>
        </w:rPr>
        <w:t>,</w:t>
      </w:r>
      <w:r w:rsidRPr="00114123">
        <w:rPr>
          <w:iCs/>
        </w:rPr>
        <w:t xml:space="preserve"> and building fabric contracts, which are in the process of being retendered, are expected to come in higher than current costs due to market changes since it was last tendered. This cannot be confirmed until the tenders are returned later in the year.</w:t>
      </w:r>
    </w:p>
    <w:p w:rsidR="00ED56AD" w:rsidRPr="00114123" w:rsidRDefault="0001576D" w:rsidP="0001576D">
      <w:pPr>
        <w:pStyle w:val="NumbList"/>
        <w:numPr>
          <w:ilvl w:val="1"/>
          <w:numId w:val="49"/>
        </w:numPr>
        <w:spacing w:after="120" w:line="240" w:lineRule="auto"/>
        <w:ind w:left="567" w:hanging="567"/>
      </w:pPr>
      <w:r w:rsidRPr="00114123">
        <w:t>The saving</w:t>
      </w:r>
      <w:r w:rsidR="009A52F4">
        <w:t>s</w:t>
      </w:r>
      <w:r w:rsidRPr="00114123">
        <w:t xml:space="preserve"> for 2017/18 included material savings for energy budgets. Th</w:t>
      </w:r>
      <w:r w:rsidR="009A52F4">
        <w:t>ese</w:t>
      </w:r>
      <w:r w:rsidRPr="00114123">
        <w:t xml:space="preserve"> budget</w:t>
      </w:r>
      <w:r w:rsidR="009A52F4">
        <w:t>s</w:t>
      </w:r>
      <w:r w:rsidRPr="00114123">
        <w:t xml:space="preserve"> ha</w:t>
      </w:r>
      <w:r w:rsidR="009A52F4">
        <w:t>ve</w:t>
      </w:r>
      <w:r w:rsidRPr="00114123">
        <w:t xml:space="preserve"> underspent in recent years, in part because of the prudent assumptions used when calculating the budget requirement. These additional savings therefore set the budget at a less cautious level, and as a result increase</w:t>
      </w:r>
      <w:r w:rsidR="00B9503B">
        <w:t>d</w:t>
      </w:r>
      <w:r w:rsidRPr="00114123">
        <w:t xml:space="preserve"> the risk of overspends in subsequent years, for example because of a colder than average winter.</w:t>
      </w:r>
      <w:r w:rsidR="00724EE0">
        <w:t xml:space="preserve"> </w:t>
      </w:r>
      <w:r w:rsidRPr="00114123">
        <w:t xml:space="preserve">This report includes </w:t>
      </w:r>
      <w:r w:rsidR="009A52F4">
        <w:t>an overspend of £158k on energy budgets, therefore the risk of overspend will continue into 2018/19</w:t>
      </w:r>
      <w:r w:rsidR="00BC462C">
        <w:t>.  The energy budgets will be kept under review.</w:t>
      </w:r>
    </w:p>
    <w:p w:rsidR="002461CC" w:rsidRPr="00ED56AD" w:rsidRDefault="00B349AE" w:rsidP="00114123">
      <w:pPr>
        <w:pStyle w:val="ListParagraph"/>
        <w:numPr>
          <w:ilvl w:val="0"/>
          <w:numId w:val="49"/>
        </w:numPr>
        <w:spacing w:after="120" w:line="240" w:lineRule="auto"/>
        <w:ind w:left="567" w:hanging="567"/>
        <w:contextualSpacing w:val="0"/>
        <w:rPr>
          <w:u w:val="single"/>
        </w:rPr>
      </w:pPr>
      <w:r>
        <w:rPr>
          <w:u w:val="single"/>
        </w:rPr>
        <w:t>Potential Risks/ Changes to the Capital Programme</w:t>
      </w:r>
    </w:p>
    <w:p w:rsidR="002461CC" w:rsidRPr="00114123" w:rsidRDefault="002461CC" w:rsidP="00392AD7">
      <w:pPr>
        <w:pStyle w:val="NumbList"/>
        <w:numPr>
          <w:ilvl w:val="1"/>
          <w:numId w:val="49"/>
        </w:numPr>
        <w:spacing w:after="120" w:line="240" w:lineRule="auto"/>
        <w:ind w:left="567" w:hanging="567"/>
      </w:pPr>
      <w:r w:rsidRPr="00114123">
        <w:t xml:space="preserve">The capital budget is an evolving entity which is subject to change throughout the year. Initial project specification is key as it is important to keep variations to projects to a minimum, as change, once a project has been agreed and commenced will invariably result in additional costs. However even the best managed projects can be subject to re-phasing or deferral due to a number of unforeseen issues, such as contractor capacity/failure, bad weather and revised operational need. This can also impact on funding requirements that in turn have a debt charge (cost of borrowing) revenue impact. </w:t>
      </w:r>
    </w:p>
    <w:p w:rsidR="002461CC" w:rsidRPr="00114123" w:rsidRDefault="002461CC" w:rsidP="00392AD7">
      <w:pPr>
        <w:pStyle w:val="NumbList"/>
        <w:numPr>
          <w:ilvl w:val="1"/>
          <w:numId w:val="49"/>
        </w:numPr>
        <w:spacing w:after="120" w:line="240" w:lineRule="auto"/>
        <w:ind w:left="567" w:hanging="567"/>
      </w:pPr>
      <w:r w:rsidRPr="00114123">
        <w:t>All capital projects will require third party collaboration to varying degrees over the project life. The following major projects</w:t>
      </w:r>
      <w:r w:rsidR="00BC462C">
        <w:t>,</w:t>
      </w:r>
      <w:r w:rsidRPr="00114123">
        <w:t xml:space="preserve"> that make up </w:t>
      </w:r>
      <w:r w:rsidR="00BC462C">
        <w:t>over 75</w:t>
      </w:r>
      <w:r w:rsidRPr="00114123">
        <w:t>% of the programme</w:t>
      </w:r>
      <w:r w:rsidR="00BC462C">
        <w:t>,</w:t>
      </w:r>
      <w:r w:rsidRPr="00114123">
        <w:t xml:space="preserve"> depend heavily on external parties actions and therefore can be subject to variation with the potential for delays in project delivery and revised cash flow requirements.  </w:t>
      </w:r>
    </w:p>
    <w:p w:rsidR="002461CC" w:rsidRPr="00ED56AD" w:rsidRDefault="002461CC" w:rsidP="00FE6658">
      <w:pPr>
        <w:pStyle w:val="ListParagraph"/>
        <w:spacing w:after="120" w:line="240" w:lineRule="auto"/>
        <w:ind w:left="567"/>
        <w:contextualSpacing w:val="0"/>
        <w:rPr>
          <w:u w:val="single"/>
        </w:rPr>
      </w:pPr>
      <w:r w:rsidRPr="00ED56AD">
        <w:rPr>
          <w:u w:val="single"/>
        </w:rPr>
        <w:t>Vehicle Replacement Programme</w:t>
      </w:r>
    </w:p>
    <w:p w:rsidR="002461CC" w:rsidRPr="00DC5801" w:rsidRDefault="00950F64" w:rsidP="000E2E68">
      <w:pPr>
        <w:pStyle w:val="NumbList"/>
        <w:numPr>
          <w:ilvl w:val="1"/>
          <w:numId w:val="49"/>
        </w:numPr>
        <w:spacing w:after="120" w:line="240" w:lineRule="auto"/>
        <w:ind w:left="567" w:hanging="567"/>
      </w:pPr>
      <w:r w:rsidRPr="000F7F3E">
        <w:t>The k</w:t>
      </w:r>
      <w:r w:rsidR="0010031C" w:rsidRPr="00DC5801">
        <w:t xml:space="preserve">ey risks relate to the contractor sourcing appropriate vehicle build options within a timeframe that meets fleet replacement requirements and </w:t>
      </w:r>
      <w:r w:rsidR="00DC5801" w:rsidRPr="000F7F3E">
        <w:t xml:space="preserve">which </w:t>
      </w:r>
      <w:r w:rsidR="0010031C" w:rsidRPr="00DC5801">
        <w:t xml:space="preserve">in turn impact the Authority’s cash flow. The forecast cash expenditure for 2018/19 and future years is based on the current assessment of the stage payment requirements for the pump replacement programme and other vehicle replacements  which represents </w:t>
      </w:r>
      <w:r w:rsidR="00BC462C">
        <w:t>over 50</w:t>
      </w:r>
      <w:r w:rsidR="0010031C" w:rsidRPr="00DC5801">
        <w:t>% of the forecast Vehicles and Equipment expenditure</w:t>
      </w:r>
      <w:r w:rsidR="00DC5801" w:rsidRPr="000F7F3E">
        <w:t xml:space="preserve">.  Any delay and revisions to </w:t>
      </w:r>
      <w:r w:rsidR="0010031C" w:rsidRPr="00DC5801">
        <w:t>the delivery timings for the fleet replacement</w:t>
      </w:r>
      <w:r w:rsidR="00DC5801" w:rsidRPr="000F7F3E">
        <w:t xml:space="preserve"> assets will impact the actual spend incurred in the financial year.</w:t>
      </w:r>
    </w:p>
    <w:p w:rsidR="002461CC" w:rsidRPr="00ED56AD" w:rsidRDefault="002461CC" w:rsidP="00FE6658">
      <w:pPr>
        <w:pStyle w:val="ListParagraph"/>
        <w:spacing w:after="120" w:line="240" w:lineRule="auto"/>
        <w:ind w:left="567"/>
        <w:contextualSpacing w:val="0"/>
        <w:rPr>
          <w:u w:val="single"/>
        </w:rPr>
      </w:pPr>
      <w:r w:rsidRPr="00ED56AD">
        <w:rPr>
          <w:u w:val="single"/>
        </w:rPr>
        <w:t xml:space="preserve">Control and Mobilising Solution (CAMS) </w:t>
      </w:r>
    </w:p>
    <w:p w:rsidR="0010031C" w:rsidRDefault="0010031C" w:rsidP="000F7F3E">
      <w:pPr>
        <w:pStyle w:val="NumbList"/>
        <w:numPr>
          <w:ilvl w:val="1"/>
          <w:numId w:val="49"/>
        </w:numPr>
        <w:spacing w:after="120" w:line="240" w:lineRule="auto"/>
        <w:ind w:left="567" w:hanging="567"/>
      </w:pPr>
      <w:r w:rsidRPr="0010031C">
        <w:t xml:space="preserve">The Brigade </w:t>
      </w:r>
      <w:r w:rsidR="00BC462C">
        <w:t>i</w:t>
      </w:r>
      <w:r w:rsidR="00261AC9">
        <w:t>m</w:t>
      </w:r>
      <w:r w:rsidR="00BC462C">
        <w:t>plemented its new mobilising system (Vision4) in</w:t>
      </w:r>
      <w:r w:rsidRPr="0010031C">
        <w:t xml:space="preserve"> November 2015</w:t>
      </w:r>
      <w:r w:rsidR="00BC462C">
        <w:t xml:space="preserve">,however </w:t>
      </w:r>
      <w:r w:rsidRPr="0010031C">
        <w:t>there are a number of other work streams within the project that are still to be delivered. Update releases have been scheduled through 2018 and 2019 for this outstanding functionality. The status of this project is Blue</w:t>
      </w:r>
      <w:r w:rsidR="00BC462C">
        <w:t xml:space="preserve"> (closed)</w:t>
      </w:r>
      <w:r w:rsidRPr="0010031C">
        <w:t xml:space="preserve"> as reported in </w:t>
      </w:r>
      <w:r w:rsidR="00805975" w:rsidRPr="00B90144">
        <w:t>FEP</w:t>
      </w:r>
      <w:r w:rsidR="00B90144" w:rsidRPr="000F7F3E">
        <w:t>2823</w:t>
      </w:r>
      <w:r w:rsidR="001817D5" w:rsidRPr="00B90144">
        <w:t>.</w:t>
      </w:r>
      <w:r w:rsidRPr="0010031C">
        <w:t xml:space="preserve"> </w:t>
      </w:r>
    </w:p>
    <w:p w:rsidR="00B90144" w:rsidRDefault="00B90144">
      <w:pPr>
        <w:spacing w:after="0" w:line="240" w:lineRule="auto"/>
      </w:pPr>
      <w:r>
        <w:br w:type="page"/>
      </w:r>
    </w:p>
    <w:p w:rsidR="007A1AC6" w:rsidRPr="00ED56AD" w:rsidRDefault="007A1AC6" w:rsidP="00FE6658">
      <w:pPr>
        <w:pStyle w:val="ListParagraph"/>
        <w:spacing w:after="120" w:line="240" w:lineRule="auto"/>
        <w:ind w:left="567"/>
        <w:contextualSpacing w:val="0"/>
        <w:rPr>
          <w:u w:val="single"/>
        </w:rPr>
      </w:pPr>
      <w:r w:rsidRPr="00ED56AD">
        <w:rPr>
          <w:u w:val="single"/>
        </w:rPr>
        <w:t>Plumstead Redevelopment/PEG&amp;BDC Project/New Training Centre</w:t>
      </w:r>
    </w:p>
    <w:p w:rsidR="007A1AC6" w:rsidRPr="00B90144" w:rsidRDefault="007A1AC6" w:rsidP="00FE6658">
      <w:pPr>
        <w:pStyle w:val="NumbList"/>
        <w:numPr>
          <w:ilvl w:val="1"/>
          <w:numId w:val="49"/>
        </w:numPr>
        <w:spacing w:after="120" w:line="240" w:lineRule="auto"/>
        <w:ind w:left="567" w:hanging="567"/>
      </w:pPr>
      <w:r w:rsidRPr="00B90144">
        <w:t xml:space="preserve">As the new site for Plumstead fire station is yet to be purchased or a lease agreed, there is </w:t>
      </w:r>
      <w:r w:rsidR="009C6C8B">
        <w:t xml:space="preserve">therefore </w:t>
      </w:r>
      <w:r w:rsidRPr="00B90144">
        <w:t>a risk that the project will be delayed</w:t>
      </w:r>
      <w:r w:rsidR="00DC5801" w:rsidRPr="000F7F3E">
        <w:t xml:space="preserve"> </w:t>
      </w:r>
      <w:r w:rsidR="009C6C8B">
        <w:t xml:space="preserve">in </w:t>
      </w:r>
      <w:r w:rsidR="00DC5801" w:rsidRPr="000F7F3E">
        <w:t>to later years</w:t>
      </w:r>
      <w:r w:rsidRPr="00B90144">
        <w:t>.</w:t>
      </w:r>
      <w:r w:rsidR="0010031C" w:rsidRPr="00B90144">
        <w:t xml:space="preserve"> </w:t>
      </w:r>
      <w:r w:rsidRPr="00B90144">
        <w:t>The LFB Training Centre project has a dependency on PEG moving out of Croydon, any delay to the PEG/BDC development may have a knock on effect on the delivery of the Training Centre programme.  The lease agreement for the new combined PEG/BDC facility (Integrated and Equipment Logistics Project – IELP) has been recently signed and the fit-out/adaptation works are to commence shortly. Should these risks in respect of site acquisition/programme delays materialise, this could result in reduced expenditure in future years compared to the current forecast budgets for these major capital projects.</w:t>
      </w:r>
    </w:p>
    <w:p w:rsidR="00782005" w:rsidRPr="00782005" w:rsidRDefault="00782005" w:rsidP="00782005">
      <w:pPr>
        <w:pStyle w:val="NumbList"/>
        <w:spacing w:after="120" w:line="240" w:lineRule="auto"/>
        <w:ind w:left="792"/>
      </w:pPr>
    </w:p>
    <w:p w:rsidR="009030BD" w:rsidRDefault="009030BD" w:rsidP="00114123">
      <w:pPr>
        <w:pStyle w:val="NumbList"/>
        <w:spacing w:after="120" w:line="240" w:lineRule="auto"/>
        <w:ind w:left="360"/>
        <w:rPr>
          <w:strike/>
          <w:highlight w:val="yellow"/>
        </w:rPr>
        <w:sectPr w:rsidR="009030BD" w:rsidSect="008F25D4">
          <w:headerReference w:type="default" r:id="rId23"/>
          <w:pgSz w:w="11907" w:h="16840" w:code="9"/>
          <w:pgMar w:top="1361" w:right="1134" w:bottom="1361" w:left="1134" w:header="709" w:footer="476" w:gutter="0"/>
          <w:cols w:space="708"/>
          <w:docGrid w:linePitch="360"/>
        </w:sectPr>
      </w:pPr>
    </w:p>
    <w:p w:rsidR="00134207" w:rsidRPr="00134207" w:rsidRDefault="00134207" w:rsidP="00261AC9">
      <w:pPr>
        <w:rPr>
          <w:lang w:eastAsia="en-US"/>
        </w:rPr>
      </w:pPr>
      <w:r w:rsidRPr="00134207">
        <w:rPr>
          <w:lang w:eastAsia="en-US"/>
        </w:rPr>
        <w:t>The chart below shows t</w:t>
      </w:r>
      <w:r w:rsidR="00025C92">
        <w:rPr>
          <w:lang w:eastAsia="en-US"/>
        </w:rPr>
        <w:t>he amount of outstanding</w:t>
      </w:r>
      <w:r w:rsidRPr="00134207">
        <w:rPr>
          <w:lang w:eastAsia="en-US"/>
        </w:rPr>
        <w:t xml:space="preserve"> LIFT debts over the last 18 months</w:t>
      </w:r>
      <w:r w:rsidR="00337FA0">
        <w:rPr>
          <w:lang w:eastAsia="en-US"/>
        </w:rPr>
        <w:t>, with</w:t>
      </w:r>
      <w:r w:rsidR="00025C92">
        <w:rPr>
          <w:lang w:eastAsia="en-US"/>
        </w:rPr>
        <w:t xml:space="preserve"> </w:t>
      </w:r>
      <w:r w:rsidR="00337FA0">
        <w:rPr>
          <w:lang w:eastAsia="en-US"/>
        </w:rPr>
        <w:t>£88</w:t>
      </w:r>
      <w:r w:rsidR="00025C92">
        <w:rPr>
          <w:lang w:eastAsia="en-US"/>
        </w:rPr>
        <w:t>k</w:t>
      </w:r>
      <w:r w:rsidR="00337FA0">
        <w:rPr>
          <w:lang w:eastAsia="en-US"/>
        </w:rPr>
        <w:t xml:space="preserve"> outstanding at the end of March 2018</w:t>
      </w:r>
      <w:r w:rsidR="00025C92">
        <w:rPr>
          <w:lang w:eastAsia="en-US"/>
        </w:rPr>
        <w:t xml:space="preserve">. The </w:t>
      </w:r>
      <w:r w:rsidRPr="00134207">
        <w:rPr>
          <w:lang w:eastAsia="en-US"/>
        </w:rPr>
        <w:t xml:space="preserve">graph shows </w:t>
      </w:r>
      <w:r w:rsidR="00EC3906">
        <w:rPr>
          <w:lang w:eastAsia="en-US"/>
        </w:rPr>
        <w:t>a continuing</w:t>
      </w:r>
      <w:r w:rsidRPr="00134207">
        <w:rPr>
          <w:lang w:eastAsia="en-US"/>
        </w:rPr>
        <w:t xml:space="preserve"> downward trend </w:t>
      </w:r>
      <w:r w:rsidR="00EC3906">
        <w:rPr>
          <w:lang w:eastAsia="en-US"/>
        </w:rPr>
        <w:t>in the level of outstanding debt</w:t>
      </w:r>
      <w:r w:rsidR="00025C92">
        <w:rPr>
          <w:lang w:eastAsia="en-US"/>
        </w:rPr>
        <w:t>.</w:t>
      </w:r>
    </w:p>
    <w:p w:rsidR="00134207" w:rsidRPr="00134207" w:rsidRDefault="00B352AB" w:rsidP="00134207">
      <w:pPr>
        <w:rPr>
          <w:lang w:eastAsia="en-US"/>
        </w:rPr>
      </w:pPr>
      <w:r>
        <w:rPr>
          <w:noProof/>
        </w:rPr>
        <w:drawing>
          <wp:inline distT="0" distB="0" distL="0" distR="0" wp14:anchorId="346A26D0" wp14:editId="675FC3E4">
            <wp:extent cx="5943600" cy="2933065"/>
            <wp:effectExtent l="0" t="0" r="19050" b="196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34207" w:rsidRPr="00134207" w:rsidRDefault="00025C92" w:rsidP="00134207">
      <w:pPr>
        <w:rPr>
          <w:lang w:eastAsia="en-US"/>
        </w:rPr>
      </w:pPr>
      <w:r>
        <w:rPr>
          <w:lang w:eastAsia="en-US"/>
        </w:rPr>
        <w:t xml:space="preserve">The table </w:t>
      </w:r>
      <w:r w:rsidR="00134207" w:rsidRPr="00134207">
        <w:rPr>
          <w:lang w:eastAsia="en-US"/>
        </w:rPr>
        <w:t>below shows the top 5 (worst) outstanding debtors for LIFT income.</w:t>
      </w:r>
    </w:p>
    <w:tbl>
      <w:tblPr>
        <w:tblStyle w:val="TableGrid12"/>
        <w:tblW w:w="7938" w:type="dxa"/>
        <w:tblInd w:w="108" w:type="dxa"/>
        <w:tblLook w:val="04A0" w:firstRow="1" w:lastRow="0" w:firstColumn="1" w:lastColumn="0" w:noHBand="0" w:noVBand="1"/>
      </w:tblPr>
      <w:tblGrid>
        <w:gridCol w:w="3686"/>
        <w:gridCol w:w="1559"/>
        <w:gridCol w:w="1418"/>
        <w:gridCol w:w="1275"/>
      </w:tblGrid>
      <w:tr w:rsidR="00134207" w:rsidRPr="00134207" w:rsidTr="00134207">
        <w:trPr>
          <w:trHeight w:val="600"/>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4207" w:rsidRPr="00134207" w:rsidRDefault="00134207" w:rsidP="00134207">
            <w:pPr>
              <w:tabs>
                <w:tab w:val="center" w:pos="1640"/>
              </w:tabs>
              <w:spacing w:before="40" w:after="40" w:line="240" w:lineRule="auto"/>
              <w:rPr>
                <w:rFonts w:ascii="Calibri" w:hAnsi="Calibri"/>
              </w:rPr>
            </w:pPr>
            <w:r w:rsidRPr="00134207">
              <w:t>Row Labels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4207" w:rsidRPr="00134207" w:rsidRDefault="00134207" w:rsidP="00134207">
            <w:pPr>
              <w:spacing w:before="40" w:after="40" w:line="240" w:lineRule="auto"/>
              <w:jc w:val="center"/>
              <w:rPr>
                <w:rFonts w:ascii="Calibri" w:hAnsi="Calibri"/>
                <w:b/>
                <w:bCs/>
              </w:rPr>
            </w:pPr>
            <w:r w:rsidRPr="00134207">
              <w:t>£ outstanding</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4207" w:rsidRPr="00134207" w:rsidRDefault="00134207" w:rsidP="00134207">
            <w:pPr>
              <w:spacing w:before="40" w:after="40" w:line="240" w:lineRule="auto"/>
              <w:jc w:val="center"/>
              <w:rPr>
                <w:rFonts w:ascii="Calibri" w:hAnsi="Calibri"/>
                <w:b/>
                <w:bCs/>
              </w:rPr>
            </w:pPr>
            <w:r w:rsidRPr="00134207">
              <w:t>Average of Age</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4207" w:rsidRPr="00134207" w:rsidRDefault="00134207" w:rsidP="00134207">
            <w:pPr>
              <w:spacing w:before="40" w:after="40" w:line="240" w:lineRule="auto"/>
              <w:jc w:val="center"/>
              <w:rPr>
                <w:rFonts w:ascii="Calibri" w:hAnsi="Calibri"/>
                <w:b/>
                <w:bCs/>
              </w:rPr>
            </w:pPr>
            <w:r w:rsidRPr="00134207">
              <w:t>No of invoices</w:t>
            </w:r>
          </w:p>
        </w:tc>
      </w:tr>
      <w:tr w:rsidR="00134207" w:rsidRPr="00134207" w:rsidTr="00134207">
        <w:trPr>
          <w:trHeight w:val="300"/>
        </w:trPr>
        <w:tc>
          <w:tcPr>
            <w:tcW w:w="3686"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rPr>
                <w:rFonts w:ascii="Calibri" w:hAnsi="Calibri"/>
              </w:rPr>
            </w:pPr>
            <w:r w:rsidRPr="00134207">
              <w:t>TESCO STORES LTD</w:t>
            </w:r>
          </w:p>
        </w:tc>
        <w:tc>
          <w:tcPr>
            <w:tcW w:w="1559"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jc w:val="right"/>
              <w:rPr>
                <w:rFonts w:ascii="Calibri" w:hAnsi="Calibri"/>
              </w:rPr>
            </w:pPr>
            <w:r w:rsidRPr="00134207">
              <w:t xml:space="preserve"> 6,036 </w:t>
            </w:r>
          </w:p>
        </w:tc>
        <w:tc>
          <w:tcPr>
            <w:tcW w:w="1418"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jc w:val="right"/>
              <w:rPr>
                <w:rFonts w:ascii="Calibri" w:hAnsi="Calibri"/>
              </w:rPr>
            </w:pPr>
            <w:r w:rsidRPr="00134207">
              <w:t xml:space="preserve"> 997 </w:t>
            </w:r>
          </w:p>
        </w:tc>
        <w:tc>
          <w:tcPr>
            <w:tcW w:w="1275"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jc w:val="right"/>
              <w:rPr>
                <w:rFonts w:ascii="Calibri" w:hAnsi="Calibri"/>
              </w:rPr>
            </w:pPr>
            <w:r w:rsidRPr="00134207">
              <w:t xml:space="preserve"> 17 </w:t>
            </w:r>
          </w:p>
        </w:tc>
      </w:tr>
      <w:tr w:rsidR="00134207" w:rsidRPr="00134207" w:rsidTr="00134207">
        <w:trPr>
          <w:trHeight w:val="300"/>
        </w:trPr>
        <w:tc>
          <w:tcPr>
            <w:tcW w:w="3686"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rPr>
                <w:rFonts w:ascii="Calibri" w:hAnsi="Calibri"/>
              </w:rPr>
            </w:pPr>
            <w:r w:rsidRPr="00134207">
              <w:t>NETWORK HOMES</w:t>
            </w:r>
          </w:p>
        </w:tc>
        <w:tc>
          <w:tcPr>
            <w:tcW w:w="1559"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jc w:val="right"/>
              <w:rPr>
                <w:rFonts w:ascii="Calibri" w:hAnsi="Calibri"/>
              </w:rPr>
            </w:pPr>
            <w:r w:rsidRPr="00134207">
              <w:t xml:space="preserve"> 3,938 </w:t>
            </w:r>
          </w:p>
        </w:tc>
        <w:tc>
          <w:tcPr>
            <w:tcW w:w="1418"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jc w:val="right"/>
              <w:rPr>
                <w:rFonts w:ascii="Calibri" w:hAnsi="Calibri"/>
              </w:rPr>
            </w:pPr>
            <w:r w:rsidRPr="00134207">
              <w:t xml:space="preserve"> 908 </w:t>
            </w:r>
          </w:p>
        </w:tc>
        <w:tc>
          <w:tcPr>
            <w:tcW w:w="1275"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jc w:val="right"/>
              <w:rPr>
                <w:rFonts w:ascii="Calibri" w:hAnsi="Calibri"/>
              </w:rPr>
            </w:pPr>
            <w:r w:rsidRPr="00134207">
              <w:t xml:space="preserve"> 11 </w:t>
            </w:r>
          </w:p>
        </w:tc>
      </w:tr>
      <w:tr w:rsidR="00134207" w:rsidRPr="00134207" w:rsidTr="00134207">
        <w:trPr>
          <w:trHeight w:val="300"/>
        </w:trPr>
        <w:tc>
          <w:tcPr>
            <w:tcW w:w="3686"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rPr>
                <w:rFonts w:ascii="Calibri" w:hAnsi="Calibri"/>
              </w:rPr>
            </w:pPr>
            <w:r w:rsidRPr="00134207">
              <w:t>WHITBREAD HOTEL COMPANY</w:t>
            </w:r>
          </w:p>
        </w:tc>
        <w:tc>
          <w:tcPr>
            <w:tcW w:w="1559"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jc w:val="right"/>
              <w:rPr>
                <w:rFonts w:ascii="Calibri" w:hAnsi="Calibri"/>
              </w:rPr>
            </w:pPr>
            <w:r w:rsidRPr="00134207">
              <w:t xml:space="preserve"> 3,530 </w:t>
            </w:r>
          </w:p>
        </w:tc>
        <w:tc>
          <w:tcPr>
            <w:tcW w:w="1418"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jc w:val="right"/>
              <w:rPr>
                <w:rFonts w:ascii="Calibri" w:hAnsi="Calibri"/>
              </w:rPr>
            </w:pPr>
            <w:r w:rsidRPr="00134207">
              <w:t xml:space="preserve"> 344 </w:t>
            </w:r>
          </w:p>
        </w:tc>
        <w:tc>
          <w:tcPr>
            <w:tcW w:w="1275"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jc w:val="right"/>
              <w:rPr>
                <w:rFonts w:ascii="Calibri" w:hAnsi="Calibri"/>
              </w:rPr>
            </w:pPr>
            <w:r w:rsidRPr="00134207">
              <w:t xml:space="preserve"> 9 </w:t>
            </w:r>
          </w:p>
        </w:tc>
      </w:tr>
      <w:tr w:rsidR="00134207" w:rsidRPr="00134207" w:rsidTr="00134207">
        <w:trPr>
          <w:trHeight w:val="300"/>
        </w:trPr>
        <w:tc>
          <w:tcPr>
            <w:tcW w:w="3686"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rPr>
                <w:rFonts w:ascii="Calibri" w:hAnsi="Calibri"/>
              </w:rPr>
            </w:pPr>
            <w:r w:rsidRPr="00134207">
              <w:t>OM PROPERTY MANAGEMENT</w:t>
            </w:r>
          </w:p>
        </w:tc>
        <w:tc>
          <w:tcPr>
            <w:tcW w:w="1559"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jc w:val="right"/>
              <w:rPr>
                <w:rFonts w:ascii="Calibri" w:hAnsi="Calibri"/>
              </w:rPr>
            </w:pPr>
            <w:r w:rsidRPr="00134207">
              <w:t xml:space="preserve"> 3,114 </w:t>
            </w:r>
          </w:p>
        </w:tc>
        <w:tc>
          <w:tcPr>
            <w:tcW w:w="1418"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jc w:val="right"/>
              <w:rPr>
                <w:rFonts w:ascii="Calibri" w:hAnsi="Calibri"/>
              </w:rPr>
            </w:pPr>
            <w:r w:rsidRPr="00134207">
              <w:t xml:space="preserve"> 1,233 </w:t>
            </w:r>
          </w:p>
        </w:tc>
        <w:tc>
          <w:tcPr>
            <w:tcW w:w="1275"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jc w:val="right"/>
              <w:rPr>
                <w:rFonts w:ascii="Calibri" w:hAnsi="Calibri"/>
              </w:rPr>
            </w:pPr>
            <w:r w:rsidRPr="00134207">
              <w:t xml:space="preserve"> 9 </w:t>
            </w:r>
          </w:p>
        </w:tc>
      </w:tr>
      <w:tr w:rsidR="00134207" w:rsidRPr="00134207" w:rsidTr="00134207">
        <w:trPr>
          <w:trHeight w:val="300"/>
        </w:trPr>
        <w:tc>
          <w:tcPr>
            <w:tcW w:w="3686"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rPr>
                <w:rFonts w:ascii="Calibri" w:hAnsi="Calibri"/>
              </w:rPr>
            </w:pPr>
            <w:r w:rsidRPr="00134207">
              <w:t>C/O PEVEREL RETIREMENT</w:t>
            </w:r>
          </w:p>
        </w:tc>
        <w:tc>
          <w:tcPr>
            <w:tcW w:w="1559"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jc w:val="right"/>
              <w:rPr>
                <w:rFonts w:ascii="Calibri" w:hAnsi="Calibri"/>
              </w:rPr>
            </w:pPr>
            <w:r w:rsidRPr="00134207">
              <w:t xml:space="preserve"> 3,011 </w:t>
            </w:r>
          </w:p>
        </w:tc>
        <w:tc>
          <w:tcPr>
            <w:tcW w:w="1418"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jc w:val="right"/>
              <w:rPr>
                <w:rFonts w:ascii="Calibri" w:hAnsi="Calibri"/>
              </w:rPr>
            </w:pPr>
            <w:r w:rsidRPr="00134207">
              <w:t xml:space="preserve"> 1,145 </w:t>
            </w:r>
          </w:p>
        </w:tc>
        <w:tc>
          <w:tcPr>
            <w:tcW w:w="1275" w:type="dxa"/>
            <w:tcBorders>
              <w:top w:val="single" w:sz="4" w:space="0" w:color="auto"/>
              <w:left w:val="single" w:sz="4" w:space="0" w:color="auto"/>
              <w:bottom w:val="single" w:sz="4" w:space="0" w:color="auto"/>
              <w:right w:val="single" w:sz="4" w:space="0" w:color="auto"/>
            </w:tcBorders>
            <w:noWrap/>
            <w:hideMark/>
          </w:tcPr>
          <w:p w:rsidR="00134207" w:rsidRPr="00134207" w:rsidRDefault="00134207" w:rsidP="00134207">
            <w:pPr>
              <w:spacing w:before="40" w:after="40" w:line="240" w:lineRule="auto"/>
              <w:jc w:val="right"/>
              <w:rPr>
                <w:rFonts w:ascii="Calibri" w:hAnsi="Calibri"/>
              </w:rPr>
            </w:pPr>
            <w:r w:rsidRPr="00134207">
              <w:t xml:space="preserve"> 10 </w:t>
            </w:r>
          </w:p>
        </w:tc>
      </w:tr>
      <w:tr w:rsidR="00134207" w:rsidRPr="00134207" w:rsidTr="00134207">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134207" w:rsidRPr="00134207" w:rsidRDefault="00134207" w:rsidP="00134207">
            <w:pPr>
              <w:spacing w:before="40" w:after="40" w:line="240" w:lineRule="auto"/>
              <w:rPr>
                <w:rFonts w:ascii="Calibri" w:hAnsi="Calibri"/>
                <w:b/>
              </w:rPr>
            </w:pPr>
            <w:r w:rsidRPr="00134207">
              <w:rPr>
                <w:b/>
              </w:rPr>
              <w:t>Grand Total</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134207" w:rsidRPr="00134207" w:rsidRDefault="00134207" w:rsidP="00134207">
            <w:pPr>
              <w:spacing w:before="40" w:after="40" w:line="240" w:lineRule="auto"/>
              <w:jc w:val="right"/>
              <w:rPr>
                <w:rFonts w:ascii="Calibri" w:hAnsi="Calibri"/>
                <w:b/>
              </w:rPr>
            </w:pPr>
            <w:r w:rsidRPr="00134207">
              <w:rPr>
                <w:b/>
              </w:rPr>
              <w:t xml:space="preserve"> 19,630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134207" w:rsidRPr="00134207" w:rsidRDefault="00134207" w:rsidP="00134207">
            <w:pPr>
              <w:spacing w:before="40" w:after="40" w:line="240" w:lineRule="auto"/>
              <w:jc w:val="right"/>
              <w:rPr>
                <w:rFonts w:ascii="Calibri" w:hAnsi="Calibri"/>
                <w:b/>
              </w:rPr>
            </w:pPr>
            <w:r w:rsidRPr="00134207">
              <w:rPr>
                <w:b/>
              </w:rPr>
              <w:t xml:space="preserve"> 939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134207" w:rsidRPr="00134207" w:rsidRDefault="00134207" w:rsidP="00134207">
            <w:pPr>
              <w:spacing w:before="40" w:after="40" w:line="240" w:lineRule="auto"/>
              <w:jc w:val="right"/>
              <w:rPr>
                <w:rFonts w:ascii="Calibri" w:hAnsi="Calibri"/>
                <w:b/>
              </w:rPr>
            </w:pPr>
            <w:r w:rsidRPr="00134207">
              <w:rPr>
                <w:b/>
              </w:rPr>
              <w:t xml:space="preserve"> 56 </w:t>
            </w:r>
          </w:p>
        </w:tc>
      </w:tr>
    </w:tbl>
    <w:p w:rsidR="008511D7" w:rsidRDefault="008511D7" w:rsidP="00134207">
      <w:pPr>
        <w:jc w:val="both"/>
        <w:rPr>
          <w:lang w:eastAsia="en-US"/>
        </w:rPr>
      </w:pPr>
    </w:p>
    <w:p w:rsidR="00C554F0" w:rsidRPr="00134207" w:rsidRDefault="00134207" w:rsidP="00261AC9">
      <w:pPr>
        <w:rPr>
          <w:lang w:eastAsia="en-US"/>
        </w:rPr>
      </w:pPr>
      <w:r w:rsidRPr="00134207">
        <w:rPr>
          <w:lang w:eastAsia="en-US"/>
        </w:rPr>
        <w:t>The top five (worst) outstanding debtors, totalling £19,630</w:t>
      </w:r>
      <w:r w:rsidR="00EC3906">
        <w:rPr>
          <w:lang w:eastAsia="en-US"/>
        </w:rPr>
        <w:t>,</w:t>
      </w:r>
      <w:r w:rsidRPr="00B209B9">
        <w:rPr>
          <w:lang w:eastAsia="en-US"/>
        </w:rPr>
        <w:t xml:space="preserve"> has continued to decrease over the past years</w:t>
      </w:r>
      <w:r w:rsidR="00C554F0" w:rsidRPr="00B209B9">
        <w:rPr>
          <w:lang w:eastAsia="en-US"/>
        </w:rPr>
        <w:t xml:space="preserve">. </w:t>
      </w:r>
      <w:r w:rsidRPr="00B209B9">
        <w:rPr>
          <w:lang w:eastAsia="en-US"/>
        </w:rPr>
        <w:t>This reached a peak of £105k at the end of September 2015</w:t>
      </w:r>
      <w:r w:rsidR="00C554F0" w:rsidRPr="00B209B9">
        <w:rPr>
          <w:lang w:eastAsia="en-US"/>
        </w:rPr>
        <w:t xml:space="preserve"> and </w:t>
      </w:r>
      <w:r w:rsidR="006B42D1" w:rsidRPr="00B209B9">
        <w:rPr>
          <w:lang w:eastAsia="en-US"/>
        </w:rPr>
        <w:t>reduced down to £48k as at the end of September 2017</w:t>
      </w:r>
      <w:r w:rsidR="00C554F0" w:rsidRPr="00B209B9">
        <w:rPr>
          <w:lang w:eastAsia="en-US"/>
        </w:rPr>
        <w:t xml:space="preserve"> b</w:t>
      </w:r>
      <w:r w:rsidRPr="00B209B9">
        <w:rPr>
          <w:lang w:eastAsia="en-US"/>
        </w:rPr>
        <w:t xml:space="preserve">ut has </w:t>
      </w:r>
      <w:r w:rsidR="00C554F0" w:rsidRPr="00B209B9">
        <w:rPr>
          <w:lang w:eastAsia="en-US"/>
        </w:rPr>
        <w:t>further</w:t>
      </w:r>
      <w:r w:rsidRPr="00B209B9">
        <w:rPr>
          <w:lang w:eastAsia="en-US"/>
        </w:rPr>
        <w:t xml:space="preserve"> reduced to £20k as at the end of March 2018. The continued joint effort by Authority staff has resulted in the positive progress made to date.</w:t>
      </w:r>
    </w:p>
    <w:p w:rsidR="00134207" w:rsidRPr="00134207" w:rsidRDefault="00134207" w:rsidP="00B209B9">
      <w:pPr>
        <w:jc w:val="both"/>
        <w:rPr>
          <w:b/>
          <w:sz w:val="28"/>
          <w:u w:val="single"/>
          <w:lang w:eastAsia="en-US"/>
        </w:rPr>
      </w:pPr>
      <w:r w:rsidRPr="00134207">
        <w:rPr>
          <w:b/>
          <w:sz w:val="28"/>
          <w:u w:val="single"/>
          <w:lang w:eastAsia="en-US"/>
        </w:rPr>
        <w:t>Review of the Top 5 debtors</w:t>
      </w:r>
    </w:p>
    <w:p w:rsidR="006A310D" w:rsidRDefault="00134207" w:rsidP="006A310D">
      <w:pPr>
        <w:contextualSpacing/>
        <w:rPr>
          <w:b/>
          <w:lang w:eastAsia="en-US"/>
        </w:rPr>
      </w:pPr>
      <w:r w:rsidRPr="00134207">
        <w:rPr>
          <w:b/>
          <w:lang w:eastAsia="en-US"/>
        </w:rPr>
        <w:t>Tesco’s Store LTD:</w:t>
      </w:r>
    </w:p>
    <w:p w:rsidR="00C554F0" w:rsidRDefault="006A310D" w:rsidP="001C69B7">
      <w:pPr>
        <w:contextualSpacing/>
        <w:rPr>
          <w:b/>
          <w:lang w:eastAsia="en-US"/>
        </w:rPr>
      </w:pPr>
      <w:r>
        <w:rPr>
          <w:lang w:eastAsia="en-US"/>
        </w:rPr>
        <w:t>Debt chasing l</w:t>
      </w:r>
      <w:r w:rsidR="00134207" w:rsidRPr="00134207">
        <w:rPr>
          <w:lang w:eastAsia="en-US"/>
        </w:rPr>
        <w:t>et</w:t>
      </w:r>
      <w:r>
        <w:rPr>
          <w:lang w:eastAsia="en-US"/>
        </w:rPr>
        <w:t xml:space="preserve">ters have been sent to </w:t>
      </w:r>
      <w:r w:rsidR="00134207" w:rsidRPr="00134207">
        <w:rPr>
          <w:lang w:eastAsia="en-US"/>
        </w:rPr>
        <w:t>Tesco stores within the N</w:t>
      </w:r>
      <w:r w:rsidR="00854EB6">
        <w:rPr>
          <w:lang w:eastAsia="en-US"/>
        </w:rPr>
        <w:t xml:space="preserve">orth </w:t>
      </w:r>
      <w:r w:rsidR="00134207" w:rsidRPr="00134207">
        <w:rPr>
          <w:lang w:eastAsia="en-US"/>
        </w:rPr>
        <w:t>W</w:t>
      </w:r>
      <w:r w:rsidR="00854EB6">
        <w:rPr>
          <w:lang w:eastAsia="en-US"/>
        </w:rPr>
        <w:t>est</w:t>
      </w:r>
      <w:r w:rsidR="00134207" w:rsidRPr="00134207">
        <w:rPr>
          <w:lang w:eastAsia="en-US"/>
        </w:rPr>
        <w:t xml:space="preserve"> and S</w:t>
      </w:r>
      <w:r w:rsidR="00854EB6">
        <w:rPr>
          <w:lang w:eastAsia="en-US"/>
        </w:rPr>
        <w:t xml:space="preserve">outh </w:t>
      </w:r>
      <w:r w:rsidR="00134207" w:rsidRPr="00134207">
        <w:rPr>
          <w:lang w:eastAsia="en-US"/>
        </w:rPr>
        <w:t>E</w:t>
      </w:r>
      <w:r w:rsidR="00854EB6">
        <w:rPr>
          <w:lang w:eastAsia="en-US"/>
        </w:rPr>
        <w:t>ast</w:t>
      </w:r>
      <w:r w:rsidR="00134207" w:rsidRPr="00134207">
        <w:rPr>
          <w:lang w:eastAsia="en-US"/>
        </w:rPr>
        <w:t xml:space="preserve"> </w:t>
      </w:r>
      <w:r w:rsidR="00EC3906">
        <w:rPr>
          <w:lang w:eastAsia="en-US"/>
        </w:rPr>
        <w:t>A</w:t>
      </w:r>
      <w:r w:rsidR="00134207" w:rsidRPr="00134207">
        <w:rPr>
          <w:lang w:eastAsia="en-US"/>
        </w:rPr>
        <w:t>r</w:t>
      </w:r>
      <w:r>
        <w:rPr>
          <w:lang w:eastAsia="en-US"/>
        </w:rPr>
        <w:t>ea</w:t>
      </w:r>
      <w:r w:rsidR="00EC3906">
        <w:rPr>
          <w:lang w:eastAsia="en-US"/>
        </w:rPr>
        <w:t>s.</w:t>
      </w:r>
      <w:r>
        <w:rPr>
          <w:lang w:eastAsia="en-US"/>
        </w:rPr>
        <w:t xml:space="preserve"> </w:t>
      </w:r>
      <w:r w:rsidR="00EC3906">
        <w:rPr>
          <w:lang w:eastAsia="en-US"/>
        </w:rPr>
        <w:t>A p</w:t>
      </w:r>
      <w:r>
        <w:rPr>
          <w:lang w:eastAsia="en-US"/>
        </w:rPr>
        <w:t xml:space="preserve">ayment was expected but has not been forthcoming. A </w:t>
      </w:r>
      <w:r w:rsidR="00134207" w:rsidRPr="00134207">
        <w:rPr>
          <w:lang w:eastAsia="en-US"/>
        </w:rPr>
        <w:t xml:space="preserve">joint referral </w:t>
      </w:r>
      <w:r w:rsidR="00EC3906">
        <w:rPr>
          <w:lang w:eastAsia="en-US"/>
        </w:rPr>
        <w:t>has been</w:t>
      </w:r>
      <w:r w:rsidR="00EC3906" w:rsidRPr="00134207">
        <w:rPr>
          <w:lang w:eastAsia="en-US"/>
        </w:rPr>
        <w:t xml:space="preserve"> </w:t>
      </w:r>
      <w:r w:rsidR="00134207" w:rsidRPr="00134207">
        <w:rPr>
          <w:lang w:eastAsia="en-US"/>
        </w:rPr>
        <w:t xml:space="preserve">sent to  </w:t>
      </w:r>
      <w:r w:rsidR="00EC3906">
        <w:rPr>
          <w:lang w:eastAsia="en-US"/>
        </w:rPr>
        <w:t>General Counsel’s Department</w:t>
      </w:r>
      <w:r w:rsidR="00134207" w:rsidRPr="00134207">
        <w:rPr>
          <w:lang w:eastAsia="en-US"/>
        </w:rPr>
        <w:t xml:space="preserve"> </w:t>
      </w:r>
      <w:r>
        <w:rPr>
          <w:lang w:eastAsia="en-US"/>
        </w:rPr>
        <w:t xml:space="preserve">for Legal action. </w:t>
      </w:r>
    </w:p>
    <w:p w:rsidR="00C554F0" w:rsidRDefault="00C554F0" w:rsidP="006A310D">
      <w:pPr>
        <w:contextualSpacing/>
        <w:rPr>
          <w:b/>
          <w:lang w:eastAsia="en-US"/>
        </w:rPr>
      </w:pPr>
    </w:p>
    <w:p w:rsidR="00134207" w:rsidRPr="00134207" w:rsidRDefault="00134207" w:rsidP="006A310D">
      <w:pPr>
        <w:contextualSpacing/>
        <w:rPr>
          <w:b/>
          <w:lang w:eastAsia="en-US"/>
        </w:rPr>
      </w:pPr>
      <w:r w:rsidRPr="00134207">
        <w:rPr>
          <w:b/>
          <w:lang w:eastAsia="en-US"/>
        </w:rPr>
        <w:t xml:space="preserve">Network Homes:  </w:t>
      </w:r>
    </w:p>
    <w:p w:rsidR="00134207" w:rsidRPr="00134207" w:rsidRDefault="00EC3906" w:rsidP="00261AC9">
      <w:pPr>
        <w:rPr>
          <w:lang w:eastAsia="en-US"/>
        </w:rPr>
      </w:pPr>
      <w:r>
        <w:rPr>
          <w:lang w:eastAsia="en-US"/>
        </w:rPr>
        <w:t>Officers have been</w:t>
      </w:r>
      <w:r w:rsidR="00134207" w:rsidRPr="00134207">
        <w:rPr>
          <w:lang w:eastAsia="en-US"/>
        </w:rPr>
        <w:t xml:space="preserve"> informed </w:t>
      </w:r>
      <w:r w:rsidR="001C69B7">
        <w:rPr>
          <w:lang w:eastAsia="en-US"/>
        </w:rPr>
        <w:t xml:space="preserve">that </w:t>
      </w:r>
      <w:r w:rsidR="001817D5">
        <w:rPr>
          <w:lang w:eastAsia="en-US"/>
        </w:rPr>
        <w:t xml:space="preserve">Network Homes </w:t>
      </w:r>
      <w:r w:rsidR="001C69B7">
        <w:rPr>
          <w:lang w:eastAsia="en-US"/>
        </w:rPr>
        <w:t xml:space="preserve">is now operating under a new name, </w:t>
      </w:r>
      <w:r w:rsidR="00134207" w:rsidRPr="00134207">
        <w:rPr>
          <w:lang w:eastAsia="en-US"/>
        </w:rPr>
        <w:t xml:space="preserve">and </w:t>
      </w:r>
      <w:r w:rsidR="001C69B7">
        <w:rPr>
          <w:lang w:eastAsia="en-US"/>
        </w:rPr>
        <w:t xml:space="preserve">further </w:t>
      </w:r>
      <w:r w:rsidR="00134207" w:rsidRPr="00134207">
        <w:rPr>
          <w:lang w:eastAsia="en-US"/>
        </w:rPr>
        <w:t>information on the new name/owner</w:t>
      </w:r>
      <w:r w:rsidR="001C69B7">
        <w:rPr>
          <w:lang w:eastAsia="en-US"/>
        </w:rPr>
        <w:t xml:space="preserve"> is now being pursued</w:t>
      </w:r>
      <w:r w:rsidR="00134207" w:rsidRPr="00134207">
        <w:rPr>
          <w:lang w:eastAsia="en-US"/>
        </w:rPr>
        <w:t xml:space="preserve">. </w:t>
      </w:r>
    </w:p>
    <w:p w:rsidR="00134207" w:rsidRPr="00134207" w:rsidRDefault="00134207" w:rsidP="00A668C4">
      <w:pPr>
        <w:contextualSpacing/>
        <w:rPr>
          <w:b/>
          <w:lang w:eastAsia="en-US"/>
        </w:rPr>
      </w:pPr>
      <w:r w:rsidRPr="00134207">
        <w:rPr>
          <w:b/>
          <w:lang w:eastAsia="en-US"/>
        </w:rPr>
        <w:t>Whitbread Hotel Company:</w:t>
      </w:r>
    </w:p>
    <w:p w:rsidR="00134207" w:rsidRDefault="00134207" w:rsidP="00261AC9">
      <w:pPr>
        <w:contextualSpacing/>
        <w:rPr>
          <w:lang w:eastAsia="en-US"/>
        </w:rPr>
      </w:pPr>
      <w:r w:rsidRPr="00134207">
        <w:rPr>
          <w:lang w:eastAsia="en-US"/>
        </w:rPr>
        <w:t xml:space="preserve">This company had promised to pay their outstanding invoices but has not yet </w:t>
      </w:r>
      <w:r w:rsidR="001C69B7">
        <w:rPr>
          <w:lang w:eastAsia="en-US"/>
        </w:rPr>
        <w:t>done so</w:t>
      </w:r>
      <w:r w:rsidRPr="00134207">
        <w:rPr>
          <w:lang w:eastAsia="en-US"/>
        </w:rPr>
        <w:t>.</w:t>
      </w:r>
      <w:r w:rsidR="00EB54C9">
        <w:rPr>
          <w:lang w:eastAsia="en-US"/>
        </w:rPr>
        <w:t xml:space="preserve"> Whitbread Hotel debts</w:t>
      </w:r>
      <w:r w:rsidRPr="00134207">
        <w:rPr>
          <w:lang w:eastAsia="en-US"/>
        </w:rPr>
        <w:t xml:space="preserve"> </w:t>
      </w:r>
      <w:r w:rsidR="001C69B7">
        <w:rPr>
          <w:lang w:eastAsia="en-US"/>
        </w:rPr>
        <w:t>have been</w:t>
      </w:r>
      <w:r w:rsidR="001C69B7" w:rsidRPr="00134207">
        <w:rPr>
          <w:lang w:eastAsia="en-US"/>
        </w:rPr>
        <w:t xml:space="preserve"> </w:t>
      </w:r>
      <w:r w:rsidRPr="00134207">
        <w:rPr>
          <w:lang w:eastAsia="en-US"/>
        </w:rPr>
        <w:t xml:space="preserve">referred </w:t>
      </w:r>
      <w:r w:rsidR="001C69B7">
        <w:rPr>
          <w:lang w:eastAsia="en-US"/>
        </w:rPr>
        <w:t>to General Counsel’s Department</w:t>
      </w:r>
      <w:r w:rsidR="001C69B7" w:rsidRPr="00134207">
        <w:rPr>
          <w:lang w:eastAsia="en-US"/>
        </w:rPr>
        <w:t xml:space="preserve"> </w:t>
      </w:r>
      <w:r w:rsidR="00EB54C9">
        <w:rPr>
          <w:lang w:eastAsia="en-US"/>
        </w:rPr>
        <w:t>for further action</w:t>
      </w:r>
      <w:r w:rsidRPr="00134207">
        <w:rPr>
          <w:lang w:eastAsia="en-US"/>
        </w:rPr>
        <w:t>.</w:t>
      </w:r>
    </w:p>
    <w:p w:rsidR="00A668C4" w:rsidRPr="00134207" w:rsidRDefault="00A668C4" w:rsidP="00A668C4">
      <w:pPr>
        <w:contextualSpacing/>
        <w:jc w:val="both"/>
        <w:rPr>
          <w:lang w:eastAsia="en-US"/>
        </w:rPr>
      </w:pPr>
    </w:p>
    <w:p w:rsidR="00134207" w:rsidRPr="00134207" w:rsidRDefault="00134207" w:rsidP="00A668C4">
      <w:pPr>
        <w:contextualSpacing/>
        <w:rPr>
          <w:b/>
          <w:lang w:eastAsia="en-US"/>
        </w:rPr>
      </w:pPr>
      <w:r w:rsidRPr="00134207">
        <w:rPr>
          <w:b/>
          <w:lang w:eastAsia="en-US"/>
        </w:rPr>
        <w:t>OM Property Management:</w:t>
      </w:r>
    </w:p>
    <w:p w:rsidR="00134207" w:rsidRPr="00134207" w:rsidRDefault="00134207" w:rsidP="00A668C4">
      <w:pPr>
        <w:contextualSpacing/>
        <w:jc w:val="both"/>
        <w:rPr>
          <w:lang w:eastAsia="en-US"/>
        </w:rPr>
      </w:pPr>
      <w:r w:rsidRPr="00134207">
        <w:rPr>
          <w:lang w:eastAsia="en-US"/>
        </w:rPr>
        <w:t xml:space="preserve">This </w:t>
      </w:r>
      <w:r w:rsidR="00EB54C9">
        <w:rPr>
          <w:lang w:eastAsia="en-US"/>
        </w:rPr>
        <w:t xml:space="preserve">debt </w:t>
      </w:r>
      <w:r w:rsidRPr="00134207">
        <w:rPr>
          <w:lang w:eastAsia="en-US"/>
        </w:rPr>
        <w:t xml:space="preserve">has been referred to </w:t>
      </w:r>
      <w:r w:rsidR="001C69B7">
        <w:rPr>
          <w:lang w:eastAsia="en-US"/>
        </w:rPr>
        <w:t>General Counsel’s Department</w:t>
      </w:r>
      <w:r w:rsidR="001C69B7" w:rsidRPr="00134207" w:rsidDel="001C69B7">
        <w:rPr>
          <w:lang w:eastAsia="en-US"/>
        </w:rPr>
        <w:t xml:space="preserve"> </w:t>
      </w:r>
      <w:r w:rsidR="00EB54C9">
        <w:rPr>
          <w:lang w:eastAsia="en-US"/>
        </w:rPr>
        <w:t>for further action.</w:t>
      </w:r>
      <w:r w:rsidRPr="00134207">
        <w:rPr>
          <w:lang w:eastAsia="en-US"/>
        </w:rPr>
        <w:t xml:space="preserve"> </w:t>
      </w:r>
    </w:p>
    <w:p w:rsidR="00A668C4" w:rsidRDefault="00A668C4" w:rsidP="00134207">
      <w:pPr>
        <w:spacing w:after="0"/>
        <w:rPr>
          <w:b/>
          <w:lang w:eastAsia="en-US"/>
        </w:rPr>
      </w:pPr>
    </w:p>
    <w:p w:rsidR="00134207" w:rsidRPr="00134207" w:rsidRDefault="00134207" w:rsidP="00134207">
      <w:pPr>
        <w:spacing w:after="0"/>
        <w:rPr>
          <w:b/>
          <w:lang w:eastAsia="en-US"/>
        </w:rPr>
      </w:pPr>
      <w:r w:rsidRPr="00134207">
        <w:rPr>
          <w:b/>
          <w:lang w:eastAsia="en-US"/>
        </w:rPr>
        <w:t>C/O Peverel Retirement</w:t>
      </w:r>
    </w:p>
    <w:p w:rsidR="009030BD" w:rsidRDefault="001C69B7" w:rsidP="00261AC9">
      <w:pPr>
        <w:spacing w:after="0"/>
        <w:contextualSpacing/>
        <w:rPr>
          <w:strike/>
          <w:highlight w:val="yellow"/>
        </w:rPr>
        <w:sectPr w:rsidR="009030BD" w:rsidSect="008F25D4">
          <w:headerReference w:type="default" r:id="rId25"/>
          <w:pgSz w:w="11907" w:h="16840" w:code="9"/>
          <w:pgMar w:top="1361" w:right="1134" w:bottom="1361" w:left="1134" w:header="709" w:footer="476" w:gutter="0"/>
          <w:cols w:space="708"/>
          <w:docGrid w:linePitch="360"/>
        </w:sectPr>
      </w:pPr>
      <w:r>
        <w:rPr>
          <w:lang w:eastAsia="en-US"/>
        </w:rPr>
        <w:t>Officers</w:t>
      </w:r>
      <w:r w:rsidRPr="00134207">
        <w:rPr>
          <w:lang w:eastAsia="en-US"/>
        </w:rPr>
        <w:t xml:space="preserve"> </w:t>
      </w:r>
      <w:r w:rsidR="00134207" w:rsidRPr="00134207">
        <w:rPr>
          <w:lang w:eastAsia="en-US"/>
        </w:rPr>
        <w:t xml:space="preserve">are currently awaiting payments for all 10 </w:t>
      </w:r>
      <w:r w:rsidR="00EB54C9">
        <w:rPr>
          <w:lang w:eastAsia="en-US"/>
        </w:rPr>
        <w:t xml:space="preserve">outstanding </w:t>
      </w:r>
      <w:r w:rsidR="00134207" w:rsidRPr="00134207">
        <w:rPr>
          <w:lang w:eastAsia="en-US"/>
        </w:rPr>
        <w:t xml:space="preserve">invoices. </w:t>
      </w:r>
      <w:r w:rsidR="00EB54C9">
        <w:rPr>
          <w:lang w:eastAsia="en-US"/>
        </w:rPr>
        <w:t>Cop</w:t>
      </w:r>
      <w:r w:rsidR="00496847">
        <w:rPr>
          <w:lang w:eastAsia="en-US"/>
        </w:rPr>
        <w:t>y i</w:t>
      </w:r>
      <w:r w:rsidR="00134207" w:rsidRPr="00134207">
        <w:rPr>
          <w:lang w:eastAsia="en-US"/>
        </w:rPr>
        <w:t>nvoices were re</w:t>
      </w:r>
      <w:r w:rsidR="00496847">
        <w:rPr>
          <w:lang w:eastAsia="en-US"/>
        </w:rPr>
        <w:t>-</w:t>
      </w:r>
      <w:r w:rsidR="00134207" w:rsidRPr="00134207">
        <w:rPr>
          <w:lang w:eastAsia="en-US"/>
        </w:rPr>
        <w:t>sent</w:t>
      </w:r>
      <w:r w:rsidR="00496847">
        <w:rPr>
          <w:lang w:eastAsia="en-US"/>
        </w:rPr>
        <w:t xml:space="preserve"> but no payment has </w:t>
      </w:r>
      <w:r>
        <w:rPr>
          <w:lang w:eastAsia="en-US"/>
        </w:rPr>
        <w:t xml:space="preserve">yet </w:t>
      </w:r>
      <w:r w:rsidR="00496847">
        <w:rPr>
          <w:lang w:eastAsia="en-US"/>
        </w:rPr>
        <w:t xml:space="preserve">been received. A final reminder letter has been sent. </w:t>
      </w:r>
    </w:p>
    <w:p w:rsidR="009030BD" w:rsidRPr="005F6B58" w:rsidRDefault="009030BD" w:rsidP="009030BD">
      <w:pPr>
        <w:spacing w:after="0" w:line="240" w:lineRule="auto"/>
        <w:rPr>
          <w:b/>
        </w:rPr>
      </w:pPr>
      <w:r w:rsidRPr="005F6B58">
        <w:rPr>
          <w:b/>
        </w:rPr>
        <w:t>Financial Regulation 9:</w:t>
      </w:r>
    </w:p>
    <w:p w:rsidR="009030BD" w:rsidRPr="005F6B58" w:rsidRDefault="009030BD" w:rsidP="009030BD">
      <w:pPr>
        <w:pStyle w:val="Default"/>
        <w:spacing w:after="260"/>
        <w:rPr>
          <w:i/>
          <w:szCs w:val="22"/>
        </w:rPr>
      </w:pPr>
      <w:r w:rsidRPr="005F6B58">
        <w:rPr>
          <w:i/>
          <w:szCs w:val="22"/>
        </w:rPr>
        <w:t>“(</w:t>
      </w:r>
      <w:r w:rsidR="005F6B58" w:rsidRPr="005F6B58">
        <w:rPr>
          <w:i/>
          <w:szCs w:val="22"/>
        </w:rPr>
        <w:t>b</w:t>
      </w:r>
      <w:r w:rsidRPr="005F6B58">
        <w:rPr>
          <w:i/>
          <w:szCs w:val="22"/>
        </w:rPr>
        <w:t xml:space="preserve">) With the agreement of the Director of </w:t>
      </w:r>
      <w:r w:rsidR="005F6B58" w:rsidRPr="005F6B58">
        <w:rPr>
          <w:i/>
          <w:szCs w:val="22"/>
        </w:rPr>
        <w:t xml:space="preserve">Corporate </w:t>
      </w:r>
      <w:r w:rsidRPr="005F6B58">
        <w:rPr>
          <w:i/>
          <w:szCs w:val="22"/>
        </w:rPr>
        <w:t xml:space="preserve">Services, a </w:t>
      </w:r>
      <w:r w:rsidR="005F6B58" w:rsidRPr="005F6B58">
        <w:rPr>
          <w:i/>
          <w:szCs w:val="22"/>
        </w:rPr>
        <w:t>H</w:t>
      </w:r>
      <w:r w:rsidRPr="005F6B58">
        <w:rPr>
          <w:i/>
          <w:szCs w:val="22"/>
        </w:rPr>
        <w:t xml:space="preserve">ead of </w:t>
      </w:r>
      <w:r w:rsidR="005F6B58" w:rsidRPr="005F6B58">
        <w:rPr>
          <w:i/>
          <w:szCs w:val="22"/>
        </w:rPr>
        <w:t xml:space="preserve">Service </w:t>
      </w:r>
      <w:r w:rsidRPr="005F6B58">
        <w:rPr>
          <w:i/>
          <w:szCs w:val="22"/>
        </w:rPr>
        <w:t>may transfer up to £50,000 from a budget head within that department’s approved budget to a budget head within another department’s approved budget, but if those budget heads are in different Directorates the agreement of the appropriate Director</w:t>
      </w:r>
      <w:r w:rsidR="005F6B58" w:rsidRPr="005F6B58">
        <w:rPr>
          <w:i/>
          <w:szCs w:val="22"/>
        </w:rPr>
        <w:t xml:space="preserve"> or Commissioner</w:t>
      </w:r>
      <w:r w:rsidRPr="005F6B58">
        <w:rPr>
          <w:i/>
          <w:szCs w:val="22"/>
        </w:rPr>
        <w:t xml:space="preserve"> is also required. </w:t>
      </w:r>
    </w:p>
    <w:p w:rsidR="009030BD" w:rsidRPr="005F6B58" w:rsidRDefault="009030BD" w:rsidP="009030BD">
      <w:pPr>
        <w:pStyle w:val="Default"/>
        <w:spacing w:after="260"/>
        <w:rPr>
          <w:i/>
          <w:szCs w:val="22"/>
        </w:rPr>
      </w:pPr>
      <w:r w:rsidRPr="005F6B58">
        <w:rPr>
          <w:i/>
          <w:szCs w:val="22"/>
        </w:rPr>
        <w:t>(</w:t>
      </w:r>
      <w:r w:rsidR="005F6B58" w:rsidRPr="005F6B58">
        <w:rPr>
          <w:i/>
          <w:szCs w:val="22"/>
        </w:rPr>
        <w:t>c</w:t>
      </w:r>
      <w:r w:rsidRPr="005F6B58">
        <w:rPr>
          <w:i/>
          <w:szCs w:val="22"/>
        </w:rPr>
        <w:t xml:space="preserve">) With the agreement of the Director of </w:t>
      </w:r>
      <w:r w:rsidR="005F6B58" w:rsidRPr="005F6B58">
        <w:rPr>
          <w:i/>
          <w:szCs w:val="22"/>
        </w:rPr>
        <w:t xml:space="preserve">Corporate </w:t>
      </w:r>
      <w:r w:rsidRPr="005F6B58">
        <w:rPr>
          <w:i/>
          <w:szCs w:val="22"/>
        </w:rPr>
        <w:t>Services, Directors may transfer up to £15</w:t>
      </w:r>
      <w:r w:rsidR="005F6B58" w:rsidRPr="005F6B58">
        <w:rPr>
          <w:i/>
          <w:szCs w:val="22"/>
        </w:rPr>
        <w:t>0</w:t>
      </w:r>
      <w:r w:rsidRPr="005F6B58">
        <w:rPr>
          <w:i/>
          <w:szCs w:val="22"/>
        </w:rPr>
        <w:t xml:space="preserve">,000 from a budget head within that department’s approved budget to a budget head within another department’s approved budget. </w:t>
      </w:r>
    </w:p>
    <w:p w:rsidR="009030BD" w:rsidRPr="005F6B58" w:rsidRDefault="009030BD" w:rsidP="009030BD">
      <w:pPr>
        <w:pStyle w:val="Default"/>
        <w:spacing w:after="260"/>
        <w:rPr>
          <w:i/>
          <w:szCs w:val="22"/>
        </w:rPr>
      </w:pPr>
      <w:r w:rsidRPr="005F6B58">
        <w:rPr>
          <w:i/>
          <w:szCs w:val="22"/>
        </w:rPr>
        <w:t>(</w:t>
      </w:r>
      <w:r w:rsidR="005F6B58" w:rsidRPr="005F6B58">
        <w:rPr>
          <w:i/>
          <w:szCs w:val="22"/>
        </w:rPr>
        <w:t>e</w:t>
      </w:r>
      <w:r w:rsidRPr="005F6B58">
        <w:rPr>
          <w:i/>
          <w:szCs w:val="22"/>
        </w:rPr>
        <w:t xml:space="preserve">) The Director of </w:t>
      </w:r>
      <w:r w:rsidR="005F6B58" w:rsidRPr="005F6B58">
        <w:rPr>
          <w:i/>
          <w:szCs w:val="22"/>
        </w:rPr>
        <w:t xml:space="preserve">Corporate </w:t>
      </w:r>
      <w:r w:rsidRPr="005F6B58">
        <w:rPr>
          <w:i/>
          <w:szCs w:val="22"/>
        </w:rPr>
        <w:t>Services shall report all transfers under (</w:t>
      </w:r>
      <w:r w:rsidR="005F6B58" w:rsidRPr="005F6B58">
        <w:rPr>
          <w:i/>
          <w:szCs w:val="22"/>
        </w:rPr>
        <w:t>b</w:t>
      </w:r>
      <w:r w:rsidRPr="005F6B58">
        <w:rPr>
          <w:i/>
          <w:szCs w:val="22"/>
        </w:rPr>
        <w:t>) and (</w:t>
      </w:r>
      <w:r w:rsidR="005F6B58" w:rsidRPr="005F6B58">
        <w:rPr>
          <w:i/>
          <w:szCs w:val="22"/>
        </w:rPr>
        <w:t>c</w:t>
      </w:r>
      <w:r w:rsidRPr="005F6B58">
        <w:rPr>
          <w:i/>
          <w:szCs w:val="22"/>
        </w:rPr>
        <w:t xml:space="preserve">) to the </w:t>
      </w:r>
      <w:r w:rsidR="005F6B58" w:rsidRPr="005F6B58">
        <w:rPr>
          <w:i/>
          <w:szCs w:val="22"/>
        </w:rPr>
        <w:t xml:space="preserve">Commissioner </w:t>
      </w:r>
      <w:r w:rsidRPr="005F6B58">
        <w:rPr>
          <w:i/>
          <w:szCs w:val="22"/>
        </w:rPr>
        <w:t xml:space="preserve">as part of the quarterly </w:t>
      </w:r>
      <w:r w:rsidR="005F6B58" w:rsidRPr="005F6B58">
        <w:rPr>
          <w:i/>
          <w:szCs w:val="22"/>
        </w:rPr>
        <w:t xml:space="preserve">Financial Position </w:t>
      </w:r>
      <w:r w:rsidRPr="005F6B58">
        <w:rPr>
          <w:i/>
          <w:szCs w:val="22"/>
        </w:rPr>
        <w:t>reports.“</w:t>
      </w:r>
    </w:p>
    <w:p w:rsidR="009030BD" w:rsidRPr="00C43480" w:rsidRDefault="009030BD" w:rsidP="009030BD">
      <w:r w:rsidRPr="00A80892">
        <w:t>No transfers were processed in Quarter 4 that require reporting.</w:t>
      </w:r>
    </w:p>
    <w:p w:rsidR="00087C98" w:rsidRDefault="00087C98" w:rsidP="009030BD">
      <w:pPr>
        <w:pStyle w:val="NumbList"/>
        <w:spacing w:after="120" w:line="240" w:lineRule="auto"/>
        <w:ind w:left="360"/>
        <w:rPr>
          <w:strike/>
          <w:highlight w:val="yellow"/>
        </w:rPr>
        <w:sectPr w:rsidR="00087C98" w:rsidSect="00576C78">
          <w:headerReference w:type="default" r:id="rId26"/>
          <w:pgSz w:w="11907" w:h="16840" w:code="9"/>
          <w:pgMar w:top="1252" w:right="1134" w:bottom="1134" w:left="1134" w:header="567" w:footer="454" w:gutter="0"/>
          <w:cols w:space="708"/>
          <w:docGrid w:linePitch="360"/>
        </w:sectPr>
      </w:pPr>
    </w:p>
    <w:tbl>
      <w:tblPr>
        <w:tblW w:w="5920" w:type="dxa"/>
        <w:tblLook w:val="04A0" w:firstRow="1" w:lastRow="0" w:firstColumn="1" w:lastColumn="0" w:noHBand="0" w:noVBand="1"/>
      </w:tblPr>
      <w:tblGrid>
        <w:gridCol w:w="2658"/>
        <w:gridCol w:w="994"/>
        <w:gridCol w:w="1134"/>
        <w:gridCol w:w="1134"/>
      </w:tblGrid>
      <w:tr w:rsidR="00087C98" w:rsidRPr="000210AD" w:rsidTr="00087C98">
        <w:trPr>
          <w:trHeight w:val="20"/>
        </w:trPr>
        <w:tc>
          <w:tcPr>
            <w:tcW w:w="2658" w:type="dxa"/>
            <w:tcBorders>
              <w:top w:val="single" w:sz="4" w:space="0" w:color="auto"/>
            </w:tcBorders>
            <w:shd w:val="clear" w:color="auto" w:fill="D9D9D9" w:themeFill="background1" w:themeFillShade="D9"/>
            <w:hideMark/>
          </w:tcPr>
          <w:p w:rsidR="00087C98" w:rsidRPr="000210AD" w:rsidRDefault="00087C98" w:rsidP="00087C98">
            <w:pPr>
              <w:spacing w:after="0" w:line="240" w:lineRule="auto"/>
              <w:rPr>
                <w:b/>
                <w:sz w:val="18"/>
                <w:szCs w:val="20"/>
              </w:rPr>
            </w:pPr>
            <w:r w:rsidRPr="000210AD">
              <w:rPr>
                <w:b/>
                <w:sz w:val="18"/>
                <w:szCs w:val="20"/>
              </w:rPr>
              <w:t> LFC Revenue (</w:t>
            </w:r>
            <w:r w:rsidRPr="000210AD">
              <w:rPr>
                <w:b/>
                <w:bCs/>
                <w:sz w:val="18"/>
                <w:szCs w:val="20"/>
              </w:rPr>
              <w:t>£000s)</w:t>
            </w:r>
          </w:p>
        </w:tc>
        <w:tc>
          <w:tcPr>
            <w:tcW w:w="994" w:type="dxa"/>
            <w:tcBorders>
              <w:top w:val="single" w:sz="4" w:space="0" w:color="auto"/>
            </w:tcBorders>
            <w:shd w:val="clear" w:color="auto" w:fill="D9D9D9" w:themeFill="background1" w:themeFillShade="D9"/>
            <w:hideMark/>
          </w:tcPr>
          <w:p w:rsidR="00087C98" w:rsidRPr="000210AD" w:rsidRDefault="00087C98" w:rsidP="00087C98">
            <w:pPr>
              <w:spacing w:after="0" w:line="240" w:lineRule="auto"/>
              <w:jc w:val="center"/>
              <w:rPr>
                <w:b/>
                <w:bCs/>
                <w:sz w:val="18"/>
                <w:szCs w:val="20"/>
              </w:rPr>
            </w:pPr>
            <w:r w:rsidRPr="000210AD">
              <w:rPr>
                <w:b/>
                <w:bCs/>
                <w:sz w:val="18"/>
                <w:szCs w:val="20"/>
              </w:rPr>
              <w:t>Budget</w:t>
            </w:r>
          </w:p>
        </w:tc>
        <w:tc>
          <w:tcPr>
            <w:tcW w:w="1134" w:type="dxa"/>
            <w:tcBorders>
              <w:top w:val="single" w:sz="4" w:space="0" w:color="auto"/>
            </w:tcBorders>
            <w:shd w:val="clear" w:color="auto" w:fill="D9D9D9" w:themeFill="background1" w:themeFillShade="D9"/>
            <w:hideMark/>
          </w:tcPr>
          <w:p w:rsidR="00087C98" w:rsidRPr="000210AD" w:rsidRDefault="00087C98" w:rsidP="00087C98">
            <w:pPr>
              <w:spacing w:after="0" w:line="240" w:lineRule="auto"/>
              <w:jc w:val="center"/>
              <w:rPr>
                <w:b/>
                <w:bCs/>
                <w:sz w:val="18"/>
                <w:szCs w:val="20"/>
              </w:rPr>
            </w:pPr>
            <w:r w:rsidRPr="000210AD">
              <w:rPr>
                <w:b/>
                <w:bCs/>
                <w:sz w:val="18"/>
                <w:szCs w:val="20"/>
              </w:rPr>
              <w:t>Outturn</w:t>
            </w:r>
          </w:p>
        </w:tc>
        <w:tc>
          <w:tcPr>
            <w:tcW w:w="1134" w:type="dxa"/>
            <w:tcBorders>
              <w:top w:val="single" w:sz="4" w:space="0" w:color="auto"/>
            </w:tcBorders>
            <w:shd w:val="clear" w:color="auto" w:fill="D9D9D9" w:themeFill="background1" w:themeFillShade="D9"/>
            <w:hideMark/>
          </w:tcPr>
          <w:p w:rsidR="00087C98" w:rsidRPr="000210AD" w:rsidRDefault="00087C98" w:rsidP="00087C98">
            <w:pPr>
              <w:spacing w:after="0" w:line="240" w:lineRule="auto"/>
              <w:jc w:val="center"/>
              <w:rPr>
                <w:b/>
                <w:bCs/>
                <w:sz w:val="18"/>
                <w:szCs w:val="20"/>
              </w:rPr>
            </w:pPr>
            <w:r w:rsidRPr="000210AD">
              <w:rPr>
                <w:b/>
                <w:bCs/>
                <w:sz w:val="18"/>
                <w:szCs w:val="20"/>
              </w:rPr>
              <w:t>Variance</w:t>
            </w:r>
          </w:p>
        </w:tc>
      </w:tr>
      <w:tr w:rsidR="00EC012C" w:rsidRPr="000210AD" w:rsidTr="00087C98">
        <w:trPr>
          <w:trHeight w:val="255"/>
        </w:trPr>
        <w:tc>
          <w:tcPr>
            <w:tcW w:w="2658" w:type="dxa"/>
            <w:tcBorders>
              <w:top w:val="single" w:sz="4" w:space="0" w:color="auto"/>
            </w:tcBorders>
            <w:vAlign w:val="center"/>
            <w:hideMark/>
          </w:tcPr>
          <w:p w:rsidR="00EC012C" w:rsidRPr="000210AD" w:rsidRDefault="00EC012C" w:rsidP="00087C98">
            <w:pPr>
              <w:spacing w:after="0" w:line="240" w:lineRule="auto"/>
              <w:rPr>
                <w:sz w:val="18"/>
                <w:szCs w:val="20"/>
              </w:rPr>
            </w:pPr>
            <w:r w:rsidRPr="000210AD">
              <w:rPr>
                <w:sz w:val="18"/>
                <w:szCs w:val="20"/>
              </w:rPr>
              <w:t>Operational staff</w:t>
            </w:r>
          </w:p>
        </w:tc>
        <w:tc>
          <w:tcPr>
            <w:tcW w:w="994" w:type="dxa"/>
            <w:tcBorders>
              <w:top w:val="single" w:sz="4" w:space="0" w:color="auto"/>
            </w:tcBorders>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236,125</w:t>
            </w:r>
          </w:p>
        </w:tc>
        <w:tc>
          <w:tcPr>
            <w:tcW w:w="1134" w:type="dxa"/>
            <w:tcBorders>
              <w:top w:val="single" w:sz="4" w:space="0" w:color="auto"/>
            </w:tcBorders>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230,897</w:t>
            </w:r>
          </w:p>
        </w:tc>
        <w:tc>
          <w:tcPr>
            <w:tcW w:w="1134" w:type="dxa"/>
            <w:tcBorders>
              <w:top w:val="single" w:sz="4" w:space="0" w:color="auto"/>
            </w:tcBorders>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(5,228)</w:t>
            </w:r>
          </w:p>
        </w:tc>
      </w:tr>
      <w:tr w:rsidR="00EC012C" w:rsidRPr="000210AD" w:rsidTr="00087C98">
        <w:trPr>
          <w:trHeight w:val="255"/>
        </w:trPr>
        <w:tc>
          <w:tcPr>
            <w:tcW w:w="2658" w:type="dxa"/>
            <w:vAlign w:val="center"/>
            <w:hideMark/>
          </w:tcPr>
          <w:p w:rsidR="00EC012C" w:rsidRPr="000210AD" w:rsidRDefault="00EC012C" w:rsidP="00087C98">
            <w:pPr>
              <w:spacing w:after="0" w:line="240" w:lineRule="auto"/>
              <w:rPr>
                <w:sz w:val="18"/>
                <w:szCs w:val="20"/>
              </w:rPr>
            </w:pPr>
            <w:r w:rsidRPr="000210AD">
              <w:rPr>
                <w:sz w:val="18"/>
                <w:szCs w:val="20"/>
              </w:rPr>
              <w:t>Other staff</w:t>
            </w:r>
          </w:p>
        </w:tc>
        <w:tc>
          <w:tcPr>
            <w:tcW w:w="99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52,740</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51,503</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(1,237)</w:t>
            </w:r>
          </w:p>
        </w:tc>
      </w:tr>
      <w:tr w:rsidR="00EC012C" w:rsidRPr="000210AD" w:rsidTr="00087C98">
        <w:trPr>
          <w:trHeight w:val="255"/>
        </w:trPr>
        <w:tc>
          <w:tcPr>
            <w:tcW w:w="2658" w:type="dxa"/>
            <w:vAlign w:val="center"/>
            <w:hideMark/>
          </w:tcPr>
          <w:p w:rsidR="00EC012C" w:rsidRPr="000210AD" w:rsidRDefault="00EC012C" w:rsidP="00087C98">
            <w:pPr>
              <w:spacing w:after="0" w:line="240" w:lineRule="auto"/>
              <w:rPr>
                <w:sz w:val="18"/>
                <w:szCs w:val="20"/>
              </w:rPr>
            </w:pPr>
            <w:r w:rsidRPr="000210AD">
              <w:rPr>
                <w:sz w:val="18"/>
                <w:szCs w:val="20"/>
              </w:rPr>
              <w:t>Employee related</w:t>
            </w:r>
          </w:p>
        </w:tc>
        <w:tc>
          <w:tcPr>
            <w:tcW w:w="99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26,479</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25,376</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(1,103)</w:t>
            </w:r>
          </w:p>
        </w:tc>
      </w:tr>
      <w:tr w:rsidR="00EC012C" w:rsidRPr="000210AD" w:rsidTr="00087C98">
        <w:trPr>
          <w:trHeight w:val="255"/>
        </w:trPr>
        <w:tc>
          <w:tcPr>
            <w:tcW w:w="2658" w:type="dxa"/>
            <w:vAlign w:val="center"/>
            <w:hideMark/>
          </w:tcPr>
          <w:p w:rsidR="00EC012C" w:rsidRPr="000210AD" w:rsidRDefault="00EC012C" w:rsidP="00087C98">
            <w:pPr>
              <w:spacing w:after="0" w:line="240" w:lineRule="auto"/>
              <w:rPr>
                <w:sz w:val="18"/>
                <w:szCs w:val="20"/>
              </w:rPr>
            </w:pPr>
            <w:r w:rsidRPr="000210AD">
              <w:rPr>
                <w:sz w:val="18"/>
                <w:szCs w:val="20"/>
              </w:rPr>
              <w:t>Pensions</w:t>
            </w:r>
          </w:p>
        </w:tc>
        <w:tc>
          <w:tcPr>
            <w:tcW w:w="99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20,489</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20,345</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(144)</w:t>
            </w:r>
          </w:p>
        </w:tc>
      </w:tr>
      <w:tr w:rsidR="00EC012C" w:rsidRPr="000210AD" w:rsidTr="00087C98">
        <w:trPr>
          <w:trHeight w:val="255"/>
        </w:trPr>
        <w:tc>
          <w:tcPr>
            <w:tcW w:w="2658" w:type="dxa"/>
            <w:vAlign w:val="center"/>
            <w:hideMark/>
          </w:tcPr>
          <w:p w:rsidR="00EC012C" w:rsidRPr="000210AD" w:rsidRDefault="00EC012C" w:rsidP="00087C98">
            <w:pPr>
              <w:spacing w:after="0" w:line="240" w:lineRule="auto"/>
              <w:rPr>
                <w:sz w:val="18"/>
                <w:szCs w:val="20"/>
              </w:rPr>
            </w:pPr>
            <w:r w:rsidRPr="000210AD">
              <w:rPr>
                <w:sz w:val="18"/>
                <w:szCs w:val="20"/>
              </w:rPr>
              <w:t>Premises</w:t>
            </w:r>
          </w:p>
        </w:tc>
        <w:tc>
          <w:tcPr>
            <w:tcW w:w="99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37,097</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36,059</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(1,039)</w:t>
            </w:r>
          </w:p>
        </w:tc>
      </w:tr>
      <w:tr w:rsidR="00EC012C" w:rsidRPr="000210AD" w:rsidTr="00087C98">
        <w:trPr>
          <w:trHeight w:val="255"/>
        </w:trPr>
        <w:tc>
          <w:tcPr>
            <w:tcW w:w="2658" w:type="dxa"/>
            <w:vAlign w:val="center"/>
            <w:hideMark/>
          </w:tcPr>
          <w:p w:rsidR="00EC012C" w:rsidRPr="000210AD" w:rsidRDefault="00EC012C" w:rsidP="00087C98">
            <w:pPr>
              <w:spacing w:after="0" w:line="240" w:lineRule="auto"/>
              <w:rPr>
                <w:sz w:val="18"/>
                <w:szCs w:val="20"/>
              </w:rPr>
            </w:pPr>
            <w:r w:rsidRPr="000210AD">
              <w:rPr>
                <w:sz w:val="18"/>
                <w:szCs w:val="20"/>
              </w:rPr>
              <w:t>Transport</w:t>
            </w:r>
          </w:p>
        </w:tc>
        <w:tc>
          <w:tcPr>
            <w:tcW w:w="99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15,292</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14,852</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(440)</w:t>
            </w:r>
          </w:p>
        </w:tc>
      </w:tr>
      <w:tr w:rsidR="00EC012C" w:rsidRPr="000210AD" w:rsidTr="00087C98">
        <w:trPr>
          <w:trHeight w:val="255"/>
        </w:trPr>
        <w:tc>
          <w:tcPr>
            <w:tcW w:w="2658" w:type="dxa"/>
            <w:vAlign w:val="center"/>
            <w:hideMark/>
          </w:tcPr>
          <w:p w:rsidR="00EC012C" w:rsidRPr="000210AD" w:rsidRDefault="00EC012C" w:rsidP="00087C98">
            <w:pPr>
              <w:spacing w:after="0" w:line="240" w:lineRule="auto"/>
              <w:rPr>
                <w:sz w:val="18"/>
                <w:szCs w:val="20"/>
              </w:rPr>
            </w:pPr>
            <w:r w:rsidRPr="000210AD">
              <w:rPr>
                <w:sz w:val="18"/>
                <w:szCs w:val="20"/>
              </w:rPr>
              <w:t>Supplies</w:t>
            </w:r>
          </w:p>
        </w:tc>
        <w:tc>
          <w:tcPr>
            <w:tcW w:w="99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27,605</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26,495</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(1,110)</w:t>
            </w:r>
          </w:p>
        </w:tc>
      </w:tr>
      <w:tr w:rsidR="00EC012C" w:rsidRPr="000210AD" w:rsidTr="00087C98">
        <w:trPr>
          <w:trHeight w:val="255"/>
        </w:trPr>
        <w:tc>
          <w:tcPr>
            <w:tcW w:w="2658" w:type="dxa"/>
            <w:vAlign w:val="center"/>
            <w:hideMark/>
          </w:tcPr>
          <w:p w:rsidR="00EC012C" w:rsidRPr="000210AD" w:rsidRDefault="00EC012C" w:rsidP="00087C98">
            <w:pPr>
              <w:spacing w:after="0" w:line="240" w:lineRule="auto"/>
              <w:rPr>
                <w:sz w:val="18"/>
                <w:szCs w:val="20"/>
              </w:rPr>
            </w:pPr>
            <w:r w:rsidRPr="000210AD">
              <w:rPr>
                <w:sz w:val="18"/>
                <w:szCs w:val="20"/>
              </w:rPr>
              <w:t xml:space="preserve">Third party </w:t>
            </w:r>
          </w:p>
        </w:tc>
        <w:tc>
          <w:tcPr>
            <w:tcW w:w="99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2,529</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2,908</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379</w:t>
            </w:r>
          </w:p>
        </w:tc>
      </w:tr>
      <w:tr w:rsidR="00EC012C" w:rsidRPr="000210AD" w:rsidTr="00087C98">
        <w:trPr>
          <w:trHeight w:val="255"/>
        </w:trPr>
        <w:tc>
          <w:tcPr>
            <w:tcW w:w="2658" w:type="dxa"/>
            <w:vAlign w:val="center"/>
            <w:hideMark/>
          </w:tcPr>
          <w:p w:rsidR="00EC012C" w:rsidRPr="000210AD" w:rsidRDefault="00EC012C" w:rsidP="00087C98">
            <w:pPr>
              <w:spacing w:after="0" w:line="240" w:lineRule="auto"/>
              <w:rPr>
                <w:sz w:val="18"/>
                <w:szCs w:val="20"/>
              </w:rPr>
            </w:pPr>
            <w:r w:rsidRPr="000210AD">
              <w:rPr>
                <w:sz w:val="18"/>
                <w:szCs w:val="20"/>
              </w:rPr>
              <w:t xml:space="preserve">Capital financing </w:t>
            </w:r>
          </w:p>
        </w:tc>
        <w:tc>
          <w:tcPr>
            <w:tcW w:w="99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9,508</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9,414</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(94)</w:t>
            </w:r>
          </w:p>
        </w:tc>
      </w:tr>
      <w:tr w:rsidR="00EC012C" w:rsidRPr="000210AD" w:rsidTr="00087C98">
        <w:trPr>
          <w:trHeight w:val="255"/>
        </w:trPr>
        <w:tc>
          <w:tcPr>
            <w:tcW w:w="2658" w:type="dxa"/>
            <w:vAlign w:val="center"/>
            <w:hideMark/>
          </w:tcPr>
          <w:p w:rsidR="00EC012C" w:rsidRPr="000210AD" w:rsidRDefault="00EC012C" w:rsidP="00087C98">
            <w:pPr>
              <w:spacing w:after="0" w:line="240" w:lineRule="auto"/>
              <w:rPr>
                <w:sz w:val="18"/>
                <w:szCs w:val="20"/>
              </w:rPr>
            </w:pPr>
            <w:r w:rsidRPr="000210AD">
              <w:rPr>
                <w:sz w:val="18"/>
                <w:szCs w:val="20"/>
              </w:rPr>
              <w:t>Contingency</w:t>
            </w:r>
          </w:p>
        </w:tc>
        <w:tc>
          <w:tcPr>
            <w:tcW w:w="99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24</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0</w:t>
            </w:r>
          </w:p>
        </w:tc>
        <w:tc>
          <w:tcPr>
            <w:tcW w:w="1134" w:type="dxa"/>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(24)</w:t>
            </w:r>
          </w:p>
        </w:tc>
      </w:tr>
      <w:tr w:rsidR="00EC012C" w:rsidRPr="000210AD" w:rsidTr="00087C98">
        <w:trPr>
          <w:trHeight w:val="255"/>
        </w:trPr>
        <w:tc>
          <w:tcPr>
            <w:tcW w:w="2658" w:type="dxa"/>
            <w:tcBorders>
              <w:bottom w:val="single" w:sz="4" w:space="0" w:color="auto"/>
            </w:tcBorders>
            <w:vAlign w:val="center"/>
            <w:hideMark/>
          </w:tcPr>
          <w:p w:rsidR="00EC012C" w:rsidRPr="000210AD" w:rsidRDefault="00EC012C" w:rsidP="00087C98">
            <w:pPr>
              <w:spacing w:after="0" w:line="240" w:lineRule="auto"/>
              <w:rPr>
                <w:sz w:val="18"/>
                <w:szCs w:val="20"/>
              </w:rPr>
            </w:pPr>
            <w:r w:rsidRPr="000210AD">
              <w:rPr>
                <w:sz w:val="18"/>
                <w:szCs w:val="20"/>
              </w:rPr>
              <w:t xml:space="preserve">Income </w:t>
            </w:r>
          </w:p>
        </w:tc>
        <w:tc>
          <w:tcPr>
            <w:tcW w:w="994" w:type="dxa"/>
            <w:tcBorders>
              <w:bottom w:val="single" w:sz="4" w:space="0" w:color="auto"/>
            </w:tcBorders>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(36,113)</w:t>
            </w:r>
          </w:p>
        </w:tc>
        <w:tc>
          <w:tcPr>
            <w:tcW w:w="1134" w:type="dxa"/>
            <w:tcBorders>
              <w:bottom w:val="single" w:sz="4" w:space="0" w:color="auto"/>
            </w:tcBorders>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(38,277)</w:t>
            </w:r>
          </w:p>
        </w:tc>
        <w:tc>
          <w:tcPr>
            <w:tcW w:w="1134" w:type="dxa"/>
            <w:tcBorders>
              <w:bottom w:val="single" w:sz="4" w:space="0" w:color="auto"/>
            </w:tcBorders>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(2,164)</w:t>
            </w:r>
          </w:p>
        </w:tc>
      </w:tr>
      <w:tr w:rsidR="00EC012C" w:rsidRPr="000210AD" w:rsidTr="00087C98">
        <w:trPr>
          <w:trHeight w:val="255"/>
        </w:trPr>
        <w:tc>
          <w:tcPr>
            <w:tcW w:w="2658" w:type="dxa"/>
            <w:tcBorders>
              <w:top w:val="single" w:sz="4" w:space="0" w:color="auto"/>
              <w:bottom w:val="single" w:sz="4" w:space="0" w:color="auto"/>
            </w:tcBorders>
            <w:vAlign w:val="center"/>
            <w:hideMark/>
          </w:tcPr>
          <w:p w:rsidR="00EC012C" w:rsidRPr="000210AD" w:rsidRDefault="00EC012C" w:rsidP="00087C98">
            <w:pPr>
              <w:spacing w:after="0" w:line="240" w:lineRule="auto"/>
              <w:rPr>
                <w:b/>
                <w:bCs/>
                <w:sz w:val="18"/>
                <w:szCs w:val="20"/>
              </w:rPr>
            </w:pPr>
            <w:r w:rsidRPr="000210AD">
              <w:rPr>
                <w:b/>
                <w:bCs/>
                <w:sz w:val="18"/>
                <w:szCs w:val="20"/>
              </w:rPr>
              <w:t>Net revenue expenditure</w:t>
            </w:r>
          </w:p>
        </w:tc>
        <w:tc>
          <w:tcPr>
            <w:tcW w:w="994" w:type="dxa"/>
            <w:tcBorders>
              <w:top w:val="single" w:sz="4" w:space="0" w:color="auto"/>
              <w:bottom w:val="single" w:sz="4" w:space="0" w:color="auto"/>
            </w:tcBorders>
            <w:noWrap/>
            <w:vAlign w:val="center"/>
            <w:hideMark/>
          </w:tcPr>
          <w:p w:rsidR="00EC012C" w:rsidRPr="00EC012C" w:rsidRDefault="00EC012C" w:rsidP="00087C98">
            <w:pPr>
              <w:spacing w:after="0" w:line="240" w:lineRule="auto"/>
              <w:jc w:val="right"/>
              <w:rPr>
                <w:b/>
                <w:bCs/>
                <w:sz w:val="18"/>
                <w:szCs w:val="20"/>
                <w:highlight w:val="yellow"/>
              </w:rPr>
            </w:pPr>
            <w:r w:rsidRPr="008511D7">
              <w:rPr>
                <w:b/>
                <w:bCs/>
                <w:sz w:val="18"/>
                <w:szCs w:val="20"/>
              </w:rPr>
              <w:t>391,777</w:t>
            </w:r>
          </w:p>
        </w:tc>
        <w:tc>
          <w:tcPr>
            <w:tcW w:w="1134" w:type="dxa"/>
            <w:tcBorders>
              <w:top w:val="single" w:sz="4" w:space="0" w:color="auto"/>
              <w:bottom w:val="single" w:sz="4" w:space="0" w:color="auto"/>
            </w:tcBorders>
            <w:noWrap/>
            <w:vAlign w:val="center"/>
            <w:hideMark/>
          </w:tcPr>
          <w:p w:rsidR="00EC012C" w:rsidRPr="00EC012C" w:rsidRDefault="00EC012C" w:rsidP="00087C98">
            <w:pPr>
              <w:spacing w:after="0" w:line="240" w:lineRule="auto"/>
              <w:jc w:val="right"/>
              <w:rPr>
                <w:b/>
                <w:bCs/>
                <w:sz w:val="18"/>
                <w:szCs w:val="20"/>
                <w:highlight w:val="yellow"/>
              </w:rPr>
            </w:pPr>
            <w:r w:rsidRPr="008511D7">
              <w:rPr>
                <w:b/>
                <w:bCs/>
                <w:sz w:val="18"/>
                <w:szCs w:val="20"/>
              </w:rPr>
              <w:t>379,572</w:t>
            </w:r>
          </w:p>
        </w:tc>
        <w:tc>
          <w:tcPr>
            <w:tcW w:w="1134" w:type="dxa"/>
            <w:tcBorders>
              <w:top w:val="single" w:sz="4" w:space="0" w:color="auto"/>
              <w:bottom w:val="single" w:sz="4" w:space="0" w:color="auto"/>
            </w:tcBorders>
            <w:noWrap/>
            <w:vAlign w:val="center"/>
            <w:hideMark/>
          </w:tcPr>
          <w:p w:rsidR="00EC012C" w:rsidRPr="00EC012C" w:rsidRDefault="00EC012C" w:rsidP="00087C98">
            <w:pPr>
              <w:spacing w:after="0" w:line="240" w:lineRule="auto"/>
              <w:jc w:val="right"/>
              <w:rPr>
                <w:b/>
                <w:bCs/>
                <w:sz w:val="18"/>
                <w:szCs w:val="20"/>
                <w:highlight w:val="yellow"/>
              </w:rPr>
            </w:pPr>
            <w:r w:rsidRPr="008511D7">
              <w:rPr>
                <w:b/>
                <w:bCs/>
                <w:sz w:val="18"/>
                <w:szCs w:val="20"/>
              </w:rPr>
              <w:t>(12,204)</w:t>
            </w:r>
          </w:p>
        </w:tc>
      </w:tr>
      <w:tr w:rsidR="00EC012C" w:rsidRPr="000210AD" w:rsidTr="00087C98">
        <w:trPr>
          <w:trHeight w:val="255"/>
        </w:trPr>
        <w:tc>
          <w:tcPr>
            <w:tcW w:w="2658" w:type="dxa"/>
            <w:tcBorders>
              <w:bottom w:val="single" w:sz="4" w:space="0" w:color="auto"/>
            </w:tcBorders>
            <w:vAlign w:val="center"/>
            <w:hideMark/>
          </w:tcPr>
          <w:p w:rsidR="00EC012C" w:rsidRPr="000210AD" w:rsidRDefault="00EC012C" w:rsidP="00087C98">
            <w:pPr>
              <w:spacing w:after="0" w:line="240" w:lineRule="auto"/>
              <w:rPr>
                <w:sz w:val="18"/>
                <w:szCs w:val="20"/>
              </w:rPr>
            </w:pPr>
            <w:r w:rsidRPr="000210AD">
              <w:rPr>
                <w:sz w:val="18"/>
                <w:szCs w:val="20"/>
              </w:rPr>
              <w:t>Use of reserves</w:t>
            </w:r>
          </w:p>
        </w:tc>
        <w:tc>
          <w:tcPr>
            <w:tcW w:w="994" w:type="dxa"/>
            <w:tcBorders>
              <w:bottom w:val="single" w:sz="4" w:space="0" w:color="auto"/>
            </w:tcBorders>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4,376</w:t>
            </w:r>
          </w:p>
        </w:tc>
        <w:tc>
          <w:tcPr>
            <w:tcW w:w="1134" w:type="dxa"/>
            <w:tcBorders>
              <w:bottom w:val="single" w:sz="4" w:space="0" w:color="auto"/>
            </w:tcBorders>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4,947</w:t>
            </w:r>
          </w:p>
        </w:tc>
        <w:tc>
          <w:tcPr>
            <w:tcW w:w="1134" w:type="dxa"/>
            <w:tcBorders>
              <w:bottom w:val="single" w:sz="4" w:space="0" w:color="auto"/>
            </w:tcBorders>
            <w:noWrap/>
            <w:vAlign w:val="center"/>
            <w:hideMark/>
          </w:tcPr>
          <w:p w:rsidR="00EC012C" w:rsidRPr="00EC012C" w:rsidRDefault="00EC012C" w:rsidP="00087C98">
            <w:pPr>
              <w:spacing w:after="0" w:line="240" w:lineRule="auto"/>
              <w:jc w:val="right"/>
              <w:rPr>
                <w:sz w:val="18"/>
                <w:szCs w:val="20"/>
                <w:highlight w:val="yellow"/>
              </w:rPr>
            </w:pPr>
            <w:r w:rsidRPr="008511D7">
              <w:rPr>
                <w:sz w:val="18"/>
                <w:szCs w:val="20"/>
              </w:rPr>
              <w:t>571</w:t>
            </w:r>
          </w:p>
        </w:tc>
      </w:tr>
      <w:tr w:rsidR="00EC012C" w:rsidRPr="000210AD" w:rsidTr="00087C98">
        <w:trPr>
          <w:trHeight w:val="255"/>
        </w:trPr>
        <w:tc>
          <w:tcPr>
            <w:tcW w:w="2658" w:type="dxa"/>
            <w:tcBorders>
              <w:top w:val="single" w:sz="4" w:space="0" w:color="auto"/>
              <w:bottom w:val="single" w:sz="4" w:space="0" w:color="auto"/>
            </w:tcBorders>
            <w:vAlign w:val="center"/>
            <w:hideMark/>
          </w:tcPr>
          <w:p w:rsidR="00EC012C" w:rsidRPr="000210AD" w:rsidRDefault="00EC012C" w:rsidP="00087C98">
            <w:pPr>
              <w:spacing w:after="0" w:line="240" w:lineRule="auto"/>
              <w:rPr>
                <w:b/>
                <w:bCs/>
                <w:sz w:val="18"/>
                <w:szCs w:val="20"/>
              </w:rPr>
            </w:pPr>
            <w:r w:rsidRPr="000210AD">
              <w:rPr>
                <w:b/>
                <w:bCs/>
                <w:sz w:val="18"/>
                <w:szCs w:val="20"/>
              </w:rPr>
              <w:t>Financing Requirement</w:t>
            </w:r>
          </w:p>
        </w:tc>
        <w:tc>
          <w:tcPr>
            <w:tcW w:w="994" w:type="dxa"/>
            <w:tcBorders>
              <w:top w:val="single" w:sz="4" w:space="0" w:color="auto"/>
              <w:bottom w:val="single" w:sz="4" w:space="0" w:color="auto"/>
            </w:tcBorders>
            <w:noWrap/>
            <w:vAlign w:val="center"/>
            <w:hideMark/>
          </w:tcPr>
          <w:p w:rsidR="00EC012C" w:rsidRPr="00EC012C" w:rsidRDefault="00EC012C" w:rsidP="00087C98">
            <w:pPr>
              <w:spacing w:after="0" w:line="240" w:lineRule="auto"/>
              <w:jc w:val="right"/>
              <w:rPr>
                <w:b/>
                <w:bCs/>
                <w:sz w:val="18"/>
                <w:szCs w:val="20"/>
                <w:highlight w:val="yellow"/>
              </w:rPr>
            </w:pPr>
            <w:r w:rsidRPr="008511D7">
              <w:rPr>
                <w:b/>
                <w:bCs/>
                <w:sz w:val="18"/>
                <w:szCs w:val="20"/>
              </w:rPr>
              <w:t>396,153</w:t>
            </w:r>
          </w:p>
        </w:tc>
        <w:tc>
          <w:tcPr>
            <w:tcW w:w="1134" w:type="dxa"/>
            <w:tcBorders>
              <w:top w:val="single" w:sz="4" w:space="0" w:color="auto"/>
              <w:bottom w:val="single" w:sz="4" w:space="0" w:color="auto"/>
            </w:tcBorders>
            <w:noWrap/>
            <w:vAlign w:val="center"/>
            <w:hideMark/>
          </w:tcPr>
          <w:p w:rsidR="00EC012C" w:rsidRPr="00EC012C" w:rsidRDefault="00EC012C" w:rsidP="00087C98">
            <w:pPr>
              <w:spacing w:after="0" w:line="240" w:lineRule="auto"/>
              <w:jc w:val="right"/>
              <w:rPr>
                <w:b/>
                <w:bCs/>
                <w:sz w:val="18"/>
                <w:szCs w:val="20"/>
                <w:highlight w:val="yellow"/>
              </w:rPr>
            </w:pPr>
            <w:r w:rsidRPr="008511D7">
              <w:rPr>
                <w:b/>
                <w:bCs/>
                <w:sz w:val="18"/>
                <w:szCs w:val="20"/>
              </w:rPr>
              <w:t>384,519</w:t>
            </w:r>
          </w:p>
        </w:tc>
        <w:tc>
          <w:tcPr>
            <w:tcW w:w="1134" w:type="dxa"/>
            <w:tcBorders>
              <w:top w:val="single" w:sz="4" w:space="0" w:color="auto"/>
              <w:bottom w:val="single" w:sz="4" w:space="0" w:color="auto"/>
            </w:tcBorders>
            <w:noWrap/>
            <w:vAlign w:val="center"/>
            <w:hideMark/>
          </w:tcPr>
          <w:p w:rsidR="00EC012C" w:rsidRPr="00EC012C" w:rsidRDefault="00EC012C" w:rsidP="00087C98">
            <w:pPr>
              <w:spacing w:after="0" w:line="240" w:lineRule="auto"/>
              <w:jc w:val="right"/>
              <w:rPr>
                <w:b/>
                <w:bCs/>
                <w:sz w:val="18"/>
                <w:szCs w:val="20"/>
                <w:highlight w:val="yellow"/>
              </w:rPr>
            </w:pPr>
            <w:r w:rsidRPr="008511D7">
              <w:rPr>
                <w:b/>
                <w:bCs/>
                <w:sz w:val="18"/>
                <w:szCs w:val="20"/>
              </w:rPr>
              <w:t>(11,633)</w:t>
            </w:r>
          </w:p>
        </w:tc>
      </w:tr>
      <w:tr w:rsidR="00EC012C" w:rsidRPr="006F3813" w:rsidTr="00087C98">
        <w:trPr>
          <w:trHeight w:val="255"/>
        </w:trPr>
        <w:tc>
          <w:tcPr>
            <w:tcW w:w="2658" w:type="dxa"/>
            <w:tcBorders>
              <w:top w:val="single" w:sz="4" w:space="0" w:color="auto"/>
            </w:tcBorders>
            <w:vAlign w:val="center"/>
            <w:hideMark/>
          </w:tcPr>
          <w:p w:rsidR="00EC012C" w:rsidRPr="000210AD" w:rsidRDefault="00EC012C" w:rsidP="00087C98">
            <w:pPr>
              <w:spacing w:after="0" w:line="240" w:lineRule="auto"/>
              <w:rPr>
                <w:sz w:val="18"/>
                <w:szCs w:val="20"/>
              </w:rPr>
            </w:pPr>
            <w:r w:rsidRPr="000210AD">
              <w:rPr>
                <w:sz w:val="18"/>
                <w:szCs w:val="20"/>
              </w:rPr>
              <w:t> </w:t>
            </w:r>
          </w:p>
        </w:tc>
        <w:tc>
          <w:tcPr>
            <w:tcW w:w="994" w:type="dxa"/>
            <w:tcBorders>
              <w:top w:val="single" w:sz="4" w:space="0" w:color="auto"/>
            </w:tcBorders>
            <w:noWrap/>
            <w:vAlign w:val="center"/>
            <w:hideMark/>
          </w:tcPr>
          <w:p w:rsidR="00EC012C" w:rsidRPr="00EC012C" w:rsidRDefault="00EC012C" w:rsidP="00087C98">
            <w:pPr>
              <w:spacing w:after="0" w:line="240" w:lineRule="auto"/>
              <w:jc w:val="right"/>
              <w:rPr>
                <w:sz w:val="18"/>
                <w:szCs w:val="20"/>
              </w:rPr>
            </w:pPr>
            <w:r w:rsidRPr="00EC012C">
              <w:rPr>
                <w:sz w:val="18"/>
                <w:szCs w:val="20"/>
              </w:rPr>
              <w:t> </w:t>
            </w:r>
          </w:p>
        </w:tc>
        <w:tc>
          <w:tcPr>
            <w:tcW w:w="1134" w:type="dxa"/>
            <w:tcBorders>
              <w:top w:val="single" w:sz="4" w:space="0" w:color="auto"/>
            </w:tcBorders>
            <w:noWrap/>
            <w:vAlign w:val="center"/>
            <w:hideMark/>
          </w:tcPr>
          <w:p w:rsidR="00EC012C" w:rsidRPr="00EC012C" w:rsidRDefault="00EC012C" w:rsidP="00087C98">
            <w:pPr>
              <w:spacing w:after="0" w:line="240" w:lineRule="auto"/>
              <w:jc w:val="right"/>
              <w:rPr>
                <w:sz w:val="18"/>
                <w:szCs w:val="20"/>
              </w:rPr>
            </w:pPr>
            <w:r w:rsidRPr="00EC012C">
              <w:rPr>
                <w:sz w:val="18"/>
                <w:szCs w:val="20"/>
              </w:rPr>
              <w:t> </w:t>
            </w:r>
          </w:p>
        </w:tc>
        <w:tc>
          <w:tcPr>
            <w:tcW w:w="1134" w:type="dxa"/>
            <w:tcBorders>
              <w:top w:val="single" w:sz="4" w:space="0" w:color="auto"/>
            </w:tcBorders>
            <w:noWrap/>
            <w:vAlign w:val="center"/>
            <w:hideMark/>
          </w:tcPr>
          <w:p w:rsidR="00EC012C" w:rsidRPr="00EC012C" w:rsidRDefault="00EC012C" w:rsidP="00087C98">
            <w:pPr>
              <w:spacing w:after="0" w:line="240" w:lineRule="auto"/>
              <w:jc w:val="right"/>
              <w:rPr>
                <w:sz w:val="18"/>
                <w:szCs w:val="20"/>
              </w:rPr>
            </w:pPr>
            <w:r w:rsidRPr="00EC012C">
              <w:rPr>
                <w:sz w:val="18"/>
                <w:szCs w:val="20"/>
              </w:rPr>
              <w:t> </w:t>
            </w:r>
          </w:p>
        </w:tc>
      </w:tr>
      <w:tr w:rsidR="00EC012C" w:rsidRPr="006F3813" w:rsidTr="00087C98">
        <w:trPr>
          <w:trHeight w:val="255"/>
        </w:trPr>
        <w:tc>
          <w:tcPr>
            <w:tcW w:w="2658" w:type="dxa"/>
            <w:vAlign w:val="center"/>
            <w:hideMark/>
          </w:tcPr>
          <w:p w:rsidR="00EC012C" w:rsidRPr="006F3813" w:rsidRDefault="00EC012C" w:rsidP="00087C98">
            <w:pPr>
              <w:spacing w:after="0" w:line="240" w:lineRule="auto"/>
              <w:rPr>
                <w:sz w:val="18"/>
                <w:szCs w:val="20"/>
              </w:rPr>
            </w:pPr>
            <w:r w:rsidRPr="006F3813">
              <w:rPr>
                <w:sz w:val="18"/>
                <w:szCs w:val="20"/>
              </w:rPr>
              <w:t>Financed by:</w:t>
            </w:r>
          </w:p>
        </w:tc>
        <w:tc>
          <w:tcPr>
            <w:tcW w:w="994" w:type="dxa"/>
            <w:noWrap/>
            <w:vAlign w:val="center"/>
            <w:hideMark/>
          </w:tcPr>
          <w:p w:rsidR="00EC012C" w:rsidRPr="00EC012C" w:rsidRDefault="00EC012C" w:rsidP="00087C98">
            <w:pPr>
              <w:spacing w:after="0" w:line="240" w:lineRule="auto"/>
              <w:jc w:val="right"/>
              <w:rPr>
                <w:sz w:val="18"/>
                <w:szCs w:val="20"/>
              </w:rPr>
            </w:pPr>
            <w:r w:rsidRPr="00EC012C">
              <w:rPr>
                <w:sz w:val="18"/>
                <w:szCs w:val="20"/>
              </w:rPr>
              <w:t> </w:t>
            </w:r>
          </w:p>
        </w:tc>
        <w:tc>
          <w:tcPr>
            <w:tcW w:w="1134" w:type="dxa"/>
            <w:noWrap/>
            <w:vAlign w:val="center"/>
            <w:hideMark/>
          </w:tcPr>
          <w:p w:rsidR="00EC012C" w:rsidRPr="00EC012C" w:rsidRDefault="00EC012C" w:rsidP="00087C98">
            <w:pPr>
              <w:spacing w:after="0" w:line="240" w:lineRule="auto"/>
              <w:jc w:val="right"/>
              <w:rPr>
                <w:sz w:val="18"/>
                <w:szCs w:val="20"/>
              </w:rPr>
            </w:pPr>
            <w:r w:rsidRPr="00EC012C">
              <w:rPr>
                <w:sz w:val="18"/>
                <w:szCs w:val="20"/>
              </w:rPr>
              <w:t> </w:t>
            </w:r>
          </w:p>
        </w:tc>
        <w:tc>
          <w:tcPr>
            <w:tcW w:w="1134" w:type="dxa"/>
            <w:noWrap/>
            <w:vAlign w:val="center"/>
            <w:hideMark/>
          </w:tcPr>
          <w:p w:rsidR="00EC012C" w:rsidRPr="00EC012C" w:rsidRDefault="00EC012C" w:rsidP="00087C98">
            <w:pPr>
              <w:spacing w:after="0" w:line="240" w:lineRule="auto"/>
              <w:jc w:val="right"/>
              <w:rPr>
                <w:sz w:val="18"/>
                <w:szCs w:val="20"/>
              </w:rPr>
            </w:pPr>
            <w:r w:rsidRPr="00EC012C">
              <w:rPr>
                <w:sz w:val="18"/>
                <w:szCs w:val="20"/>
              </w:rPr>
              <w:t> </w:t>
            </w:r>
          </w:p>
        </w:tc>
      </w:tr>
      <w:tr w:rsidR="00EC012C" w:rsidRPr="006F3813" w:rsidTr="00087C98">
        <w:trPr>
          <w:trHeight w:val="255"/>
        </w:trPr>
        <w:tc>
          <w:tcPr>
            <w:tcW w:w="2658" w:type="dxa"/>
            <w:vAlign w:val="center"/>
            <w:hideMark/>
          </w:tcPr>
          <w:p w:rsidR="00EC012C" w:rsidRPr="006F3813" w:rsidRDefault="00EC012C" w:rsidP="00087C98">
            <w:pPr>
              <w:spacing w:after="0" w:line="240" w:lineRule="auto"/>
              <w:rPr>
                <w:sz w:val="18"/>
                <w:szCs w:val="20"/>
              </w:rPr>
            </w:pPr>
            <w:r w:rsidRPr="006F3813">
              <w:rPr>
                <w:sz w:val="18"/>
                <w:szCs w:val="20"/>
              </w:rPr>
              <w:t>Specific grants</w:t>
            </w:r>
          </w:p>
        </w:tc>
        <w:tc>
          <w:tcPr>
            <w:tcW w:w="994" w:type="dxa"/>
            <w:noWrap/>
            <w:vAlign w:val="center"/>
            <w:hideMark/>
          </w:tcPr>
          <w:p w:rsidR="00EC012C" w:rsidRPr="00EC012C" w:rsidRDefault="00EC012C" w:rsidP="00087C98">
            <w:pPr>
              <w:spacing w:after="0" w:line="240" w:lineRule="auto"/>
              <w:jc w:val="right"/>
              <w:rPr>
                <w:sz w:val="18"/>
                <w:szCs w:val="20"/>
              </w:rPr>
            </w:pPr>
            <w:r w:rsidRPr="008511D7">
              <w:rPr>
                <w:sz w:val="18"/>
                <w:szCs w:val="20"/>
              </w:rPr>
              <w:t>(13,753)</w:t>
            </w:r>
          </w:p>
        </w:tc>
        <w:tc>
          <w:tcPr>
            <w:tcW w:w="1134" w:type="dxa"/>
            <w:noWrap/>
            <w:vAlign w:val="center"/>
            <w:hideMark/>
          </w:tcPr>
          <w:p w:rsidR="00EC012C" w:rsidRPr="00EC012C" w:rsidRDefault="00EC012C" w:rsidP="00087C98">
            <w:pPr>
              <w:spacing w:after="0" w:line="240" w:lineRule="auto"/>
              <w:jc w:val="right"/>
              <w:rPr>
                <w:sz w:val="18"/>
                <w:szCs w:val="20"/>
              </w:rPr>
            </w:pPr>
            <w:r w:rsidRPr="008511D7">
              <w:rPr>
                <w:sz w:val="18"/>
                <w:szCs w:val="20"/>
              </w:rPr>
              <w:t>(13,997)</w:t>
            </w:r>
          </w:p>
        </w:tc>
        <w:tc>
          <w:tcPr>
            <w:tcW w:w="1134" w:type="dxa"/>
            <w:noWrap/>
            <w:vAlign w:val="center"/>
            <w:hideMark/>
          </w:tcPr>
          <w:p w:rsidR="00EC012C" w:rsidRPr="00EC012C" w:rsidRDefault="00EC012C" w:rsidP="00087C98">
            <w:pPr>
              <w:spacing w:after="0" w:line="240" w:lineRule="auto"/>
              <w:jc w:val="right"/>
              <w:rPr>
                <w:sz w:val="18"/>
                <w:szCs w:val="20"/>
              </w:rPr>
            </w:pPr>
            <w:r w:rsidRPr="008511D7">
              <w:rPr>
                <w:sz w:val="18"/>
                <w:szCs w:val="20"/>
              </w:rPr>
              <w:t>(244)</w:t>
            </w:r>
          </w:p>
        </w:tc>
      </w:tr>
      <w:tr w:rsidR="00EC012C" w:rsidRPr="006F3813" w:rsidTr="00087C98">
        <w:trPr>
          <w:trHeight w:val="255"/>
        </w:trPr>
        <w:tc>
          <w:tcPr>
            <w:tcW w:w="2658" w:type="dxa"/>
            <w:vAlign w:val="center"/>
            <w:hideMark/>
          </w:tcPr>
          <w:p w:rsidR="00EC012C" w:rsidRPr="006F3813" w:rsidRDefault="00EC012C" w:rsidP="00087C98">
            <w:pPr>
              <w:spacing w:after="0" w:line="240" w:lineRule="auto"/>
              <w:rPr>
                <w:sz w:val="18"/>
                <w:szCs w:val="20"/>
              </w:rPr>
            </w:pPr>
            <w:r w:rsidRPr="006F3813">
              <w:rPr>
                <w:sz w:val="18"/>
                <w:szCs w:val="20"/>
              </w:rPr>
              <w:t>GLA funding</w:t>
            </w:r>
          </w:p>
        </w:tc>
        <w:tc>
          <w:tcPr>
            <w:tcW w:w="994" w:type="dxa"/>
            <w:noWrap/>
            <w:vAlign w:val="center"/>
            <w:hideMark/>
          </w:tcPr>
          <w:p w:rsidR="00EC012C" w:rsidRPr="00EC012C" w:rsidRDefault="00EC012C" w:rsidP="00087C98">
            <w:pPr>
              <w:spacing w:after="0" w:line="240" w:lineRule="auto"/>
              <w:jc w:val="right"/>
              <w:rPr>
                <w:sz w:val="18"/>
                <w:szCs w:val="20"/>
              </w:rPr>
            </w:pPr>
            <w:r w:rsidRPr="008511D7">
              <w:rPr>
                <w:sz w:val="18"/>
                <w:szCs w:val="20"/>
              </w:rPr>
              <w:t>(382,400)</w:t>
            </w:r>
          </w:p>
        </w:tc>
        <w:tc>
          <w:tcPr>
            <w:tcW w:w="1134" w:type="dxa"/>
            <w:noWrap/>
            <w:vAlign w:val="center"/>
            <w:hideMark/>
          </w:tcPr>
          <w:p w:rsidR="00EC012C" w:rsidRPr="00EC012C" w:rsidRDefault="00EC012C" w:rsidP="00087C98">
            <w:pPr>
              <w:spacing w:after="0" w:line="240" w:lineRule="auto"/>
              <w:jc w:val="right"/>
              <w:rPr>
                <w:sz w:val="18"/>
                <w:szCs w:val="20"/>
              </w:rPr>
            </w:pPr>
            <w:r w:rsidRPr="008511D7">
              <w:rPr>
                <w:sz w:val="18"/>
                <w:szCs w:val="20"/>
              </w:rPr>
              <w:t>(382,400)</w:t>
            </w:r>
          </w:p>
        </w:tc>
        <w:tc>
          <w:tcPr>
            <w:tcW w:w="1134" w:type="dxa"/>
            <w:noWrap/>
            <w:vAlign w:val="center"/>
            <w:hideMark/>
          </w:tcPr>
          <w:p w:rsidR="00EC012C" w:rsidRPr="00EC012C" w:rsidRDefault="00EC012C" w:rsidP="00087C98">
            <w:pPr>
              <w:spacing w:after="0" w:line="240" w:lineRule="auto"/>
              <w:jc w:val="right"/>
              <w:rPr>
                <w:sz w:val="18"/>
                <w:szCs w:val="20"/>
              </w:rPr>
            </w:pPr>
            <w:r w:rsidRPr="008511D7">
              <w:rPr>
                <w:sz w:val="18"/>
                <w:szCs w:val="20"/>
              </w:rPr>
              <w:t>0</w:t>
            </w:r>
          </w:p>
        </w:tc>
      </w:tr>
      <w:tr w:rsidR="00EC012C" w:rsidRPr="006F3813" w:rsidTr="00087C98">
        <w:trPr>
          <w:trHeight w:val="255"/>
        </w:trPr>
        <w:tc>
          <w:tcPr>
            <w:tcW w:w="2658" w:type="dxa"/>
            <w:tcBorders>
              <w:top w:val="single" w:sz="4" w:space="0" w:color="auto"/>
              <w:bottom w:val="single" w:sz="4" w:space="0" w:color="auto"/>
            </w:tcBorders>
            <w:vAlign w:val="center"/>
            <w:hideMark/>
          </w:tcPr>
          <w:p w:rsidR="00EC012C" w:rsidRPr="006F3813" w:rsidRDefault="00EC012C" w:rsidP="00087C98">
            <w:pPr>
              <w:spacing w:after="0" w:line="240" w:lineRule="auto"/>
              <w:rPr>
                <w:b/>
                <w:bCs/>
                <w:sz w:val="18"/>
                <w:szCs w:val="20"/>
              </w:rPr>
            </w:pPr>
            <w:r w:rsidRPr="006F3813">
              <w:rPr>
                <w:b/>
                <w:bCs/>
                <w:sz w:val="18"/>
                <w:szCs w:val="20"/>
              </w:rPr>
              <w:t>Net Financial Position</w:t>
            </w:r>
          </w:p>
        </w:tc>
        <w:tc>
          <w:tcPr>
            <w:tcW w:w="994" w:type="dxa"/>
            <w:tcBorders>
              <w:top w:val="single" w:sz="4" w:space="0" w:color="auto"/>
              <w:bottom w:val="single" w:sz="4" w:space="0" w:color="auto"/>
            </w:tcBorders>
            <w:noWrap/>
            <w:vAlign w:val="center"/>
            <w:hideMark/>
          </w:tcPr>
          <w:p w:rsidR="00EC012C" w:rsidRPr="00EC012C" w:rsidRDefault="00EC012C" w:rsidP="00087C98">
            <w:pPr>
              <w:spacing w:after="0" w:line="240" w:lineRule="auto"/>
              <w:jc w:val="right"/>
              <w:rPr>
                <w:b/>
                <w:bCs/>
                <w:sz w:val="18"/>
                <w:szCs w:val="20"/>
              </w:rPr>
            </w:pPr>
            <w:r w:rsidRPr="008511D7">
              <w:rPr>
                <w:b/>
                <w:bCs/>
                <w:sz w:val="18"/>
                <w:szCs w:val="20"/>
              </w:rPr>
              <w:t>0</w:t>
            </w:r>
          </w:p>
        </w:tc>
        <w:tc>
          <w:tcPr>
            <w:tcW w:w="1134" w:type="dxa"/>
            <w:tcBorders>
              <w:top w:val="single" w:sz="4" w:space="0" w:color="auto"/>
              <w:bottom w:val="single" w:sz="4" w:space="0" w:color="auto"/>
            </w:tcBorders>
            <w:noWrap/>
            <w:vAlign w:val="center"/>
            <w:hideMark/>
          </w:tcPr>
          <w:p w:rsidR="00EC012C" w:rsidRPr="00EC012C" w:rsidRDefault="00EC012C" w:rsidP="00087C98">
            <w:pPr>
              <w:spacing w:after="0" w:line="240" w:lineRule="auto"/>
              <w:jc w:val="right"/>
              <w:rPr>
                <w:b/>
                <w:bCs/>
                <w:sz w:val="18"/>
                <w:szCs w:val="20"/>
              </w:rPr>
            </w:pPr>
            <w:r w:rsidRPr="008511D7">
              <w:rPr>
                <w:b/>
                <w:bCs/>
                <w:sz w:val="18"/>
                <w:szCs w:val="20"/>
              </w:rPr>
              <w:t>(11,878)</w:t>
            </w:r>
          </w:p>
        </w:tc>
        <w:tc>
          <w:tcPr>
            <w:tcW w:w="1134" w:type="dxa"/>
            <w:tcBorders>
              <w:top w:val="single" w:sz="4" w:space="0" w:color="auto"/>
              <w:bottom w:val="single" w:sz="4" w:space="0" w:color="auto"/>
            </w:tcBorders>
            <w:noWrap/>
            <w:vAlign w:val="center"/>
            <w:hideMark/>
          </w:tcPr>
          <w:p w:rsidR="00EC012C" w:rsidRPr="00EC012C" w:rsidRDefault="00EC012C" w:rsidP="00087C98">
            <w:pPr>
              <w:spacing w:after="0" w:line="240" w:lineRule="auto"/>
              <w:jc w:val="right"/>
              <w:rPr>
                <w:b/>
                <w:bCs/>
                <w:sz w:val="18"/>
                <w:szCs w:val="20"/>
              </w:rPr>
            </w:pPr>
            <w:r w:rsidRPr="008511D7">
              <w:rPr>
                <w:b/>
                <w:bCs/>
                <w:sz w:val="18"/>
                <w:szCs w:val="20"/>
              </w:rPr>
              <w:t>(11,878)</w:t>
            </w:r>
          </w:p>
        </w:tc>
      </w:tr>
    </w:tbl>
    <w:p w:rsidR="00087C98" w:rsidRPr="006F3813" w:rsidRDefault="00087C98" w:rsidP="00087C98">
      <w:pPr>
        <w:spacing w:after="0"/>
        <w:rPr>
          <w:sz w:val="10"/>
          <w:szCs w:val="20"/>
        </w:rPr>
      </w:pPr>
    </w:p>
    <w:tbl>
      <w:tblPr>
        <w:tblW w:w="5920" w:type="dxa"/>
        <w:tblLook w:val="04A0" w:firstRow="1" w:lastRow="0" w:firstColumn="1" w:lastColumn="0" w:noHBand="0" w:noVBand="1"/>
      </w:tblPr>
      <w:tblGrid>
        <w:gridCol w:w="2658"/>
        <w:gridCol w:w="994"/>
        <w:gridCol w:w="1134"/>
        <w:gridCol w:w="1134"/>
      </w:tblGrid>
      <w:tr w:rsidR="00087C98" w:rsidRPr="006F3813" w:rsidTr="00087C98">
        <w:trPr>
          <w:trHeight w:val="20"/>
        </w:trPr>
        <w:tc>
          <w:tcPr>
            <w:tcW w:w="2658" w:type="dxa"/>
            <w:tcBorders>
              <w:top w:val="single" w:sz="4" w:space="0" w:color="auto"/>
            </w:tcBorders>
            <w:shd w:val="clear" w:color="auto" w:fill="D9D9D9" w:themeFill="background1" w:themeFillShade="D9"/>
            <w:hideMark/>
          </w:tcPr>
          <w:p w:rsidR="00087C98" w:rsidRPr="006F3813" w:rsidRDefault="00087C98" w:rsidP="00087C98">
            <w:pPr>
              <w:spacing w:after="0" w:line="240" w:lineRule="auto"/>
              <w:rPr>
                <w:b/>
                <w:sz w:val="18"/>
                <w:szCs w:val="20"/>
              </w:rPr>
            </w:pPr>
            <w:r w:rsidRPr="006F3813">
              <w:rPr>
                <w:b/>
                <w:sz w:val="18"/>
                <w:szCs w:val="20"/>
              </w:rPr>
              <w:t> LFC Capital (</w:t>
            </w:r>
            <w:r w:rsidRPr="006F3813">
              <w:rPr>
                <w:b/>
                <w:bCs/>
                <w:sz w:val="18"/>
                <w:szCs w:val="20"/>
              </w:rPr>
              <w:t>£000s)</w:t>
            </w:r>
          </w:p>
        </w:tc>
        <w:tc>
          <w:tcPr>
            <w:tcW w:w="994" w:type="dxa"/>
            <w:tcBorders>
              <w:top w:val="single" w:sz="4" w:space="0" w:color="auto"/>
            </w:tcBorders>
            <w:shd w:val="clear" w:color="auto" w:fill="D9D9D9" w:themeFill="background1" w:themeFillShade="D9"/>
            <w:hideMark/>
          </w:tcPr>
          <w:p w:rsidR="00087C98" w:rsidRPr="006F3813" w:rsidRDefault="00087C98" w:rsidP="00087C98">
            <w:pPr>
              <w:spacing w:after="0" w:line="240" w:lineRule="auto"/>
              <w:jc w:val="center"/>
              <w:rPr>
                <w:b/>
                <w:bCs/>
                <w:sz w:val="18"/>
                <w:szCs w:val="20"/>
              </w:rPr>
            </w:pPr>
            <w:r w:rsidRPr="006F3813">
              <w:rPr>
                <w:b/>
                <w:bCs/>
                <w:sz w:val="18"/>
                <w:szCs w:val="20"/>
              </w:rPr>
              <w:t>Budget</w:t>
            </w:r>
          </w:p>
        </w:tc>
        <w:tc>
          <w:tcPr>
            <w:tcW w:w="1134" w:type="dxa"/>
            <w:tcBorders>
              <w:top w:val="single" w:sz="4" w:space="0" w:color="auto"/>
            </w:tcBorders>
            <w:shd w:val="clear" w:color="auto" w:fill="D9D9D9" w:themeFill="background1" w:themeFillShade="D9"/>
            <w:hideMark/>
          </w:tcPr>
          <w:p w:rsidR="00087C98" w:rsidRPr="006F3813" w:rsidRDefault="00087C98" w:rsidP="00087C98">
            <w:pPr>
              <w:spacing w:after="0" w:line="240" w:lineRule="auto"/>
              <w:jc w:val="center"/>
              <w:rPr>
                <w:b/>
                <w:bCs/>
                <w:sz w:val="18"/>
                <w:szCs w:val="20"/>
              </w:rPr>
            </w:pPr>
            <w:r w:rsidRPr="006F3813">
              <w:rPr>
                <w:b/>
                <w:bCs/>
                <w:sz w:val="18"/>
                <w:szCs w:val="20"/>
              </w:rPr>
              <w:t>Outturn</w:t>
            </w:r>
          </w:p>
        </w:tc>
        <w:tc>
          <w:tcPr>
            <w:tcW w:w="1134" w:type="dxa"/>
            <w:tcBorders>
              <w:top w:val="single" w:sz="4" w:space="0" w:color="auto"/>
            </w:tcBorders>
            <w:shd w:val="clear" w:color="auto" w:fill="D9D9D9" w:themeFill="background1" w:themeFillShade="D9"/>
            <w:hideMark/>
          </w:tcPr>
          <w:p w:rsidR="00087C98" w:rsidRPr="006F3813" w:rsidRDefault="00087C98" w:rsidP="00087C98">
            <w:pPr>
              <w:spacing w:after="0" w:line="240" w:lineRule="auto"/>
              <w:jc w:val="center"/>
              <w:rPr>
                <w:b/>
                <w:bCs/>
                <w:sz w:val="18"/>
                <w:szCs w:val="20"/>
              </w:rPr>
            </w:pPr>
            <w:r w:rsidRPr="006F3813">
              <w:rPr>
                <w:b/>
                <w:bCs/>
                <w:sz w:val="18"/>
                <w:szCs w:val="20"/>
              </w:rPr>
              <w:t>Variance</w:t>
            </w:r>
          </w:p>
        </w:tc>
      </w:tr>
      <w:tr w:rsidR="00EC012C" w:rsidRPr="006F3813" w:rsidTr="008511D7">
        <w:trPr>
          <w:trHeight w:val="255"/>
        </w:trPr>
        <w:tc>
          <w:tcPr>
            <w:tcW w:w="2658" w:type="dxa"/>
            <w:tcBorders>
              <w:top w:val="single" w:sz="4" w:space="0" w:color="auto"/>
            </w:tcBorders>
            <w:hideMark/>
          </w:tcPr>
          <w:p w:rsidR="00EC012C" w:rsidRPr="006F3813" w:rsidRDefault="00EC012C" w:rsidP="00087C98">
            <w:pPr>
              <w:spacing w:after="0" w:line="240" w:lineRule="auto"/>
              <w:rPr>
                <w:sz w:val="18"/>
                <w:szCs w:val="20"/>
              </w:rPr>
            </w:pPr>
            <w:r w:rsidRPr="006F3813">
              <w:rPr>
                <w:sz w:val="18"/>
                <w:szCs w:val="20"/>
              </w:rPr>
              <w:t>ICT Projects</w:t>
            </w:r>
          </w:p>
        </w:tc>
        <w:tc>
          <w:tcPr>
            <w:tcW w:w="994" w:type="dxa"/>
            <w:tcBorders>
              <w:top w:val="single" w:sz="4" w:space="0" w:color="auto"/>
            </w:tcBorders>
            <w:noWrap/>
            <w:vAlign w:val="center"/>
            <w:hideMark/>
          </w:tcPr>
          <w:p w:rsidR="00EC012C" w:rsidRPr="00EC012C" w:rsidRDefault="00EC012C">
            <w:pPr>
              <w:spacing w:after="0"/>
              <w:jc w:val="right"/>
              <w:rPr>
                <w:bCs/>
                <w:sz w:val="18"/>
                <w:szCs w:val="20"/>
              </w:rPr>
            </w:pPr>
            <w:r w:rsidRPr="008511D7">
              <w:rPr>
                <w:sz w:val="18"/>
              </w:rPr>
              <w:t>4,762</w:t>
            </w:r>
          </w:p>
        </w:tc>
        <w:tc>
          <w:tcPr>
            <w:tcW w:w="1134" w:type="dxa"/>
            <w:tcBorders>
              <w:top w:val="single" w:sz="4" w:space="0" w:color="auto"/>
            </w:tcBorders>
            <w:noWrap/>
            <w:vAlign w:val="center"/>
            <w:hideMark/>
          </w:tcPr>
          <w:p w:rsidR="00EC012C" w:rsidRPr="00EC012C" w:rsidRDefault="00EC012C">
            <w:pPr>
              <w:spacing w:after="0"/>
              <w:jc w:val="right"/>
              <w:rPr>
                <w:bCs/>
                <w:sz w:val="18"/>
                <w:szCs w:val="20"/>
              </w:rPr>
            </w:pPr>
            <w:r w:rsidRPr="008511D7">
              <w:rPr>
                <w:sz w:val="18"/>
              </w:rPr>
              <w:t>1,483</w:t>
            </w:r>
          </w:p>
        </w:tc>
        <w:tc>
          <w:tcPr>
            <w:tcW w:w="1134" w:type="dxa"/>
            <w:tcBorders>
              <w:top w:val="single" w:sz="4" w:space="0" w:color="auto"/>
            </w:tcBorders>
            <w:noWrap/>
            <w:vAlign w:val="center"/>
            <w:hideMark/>
          </w:tcPr>
          <w:p w:rsidR="00EC012C" w:rsidRPr="00EC012C" w:rsidRDefault="00EC012C">
            <w:pPr>
              <w:spacing w:after="0"/>
              <w:jc w:val="right"/>
              <w:rPr>
                <w:bCs/>
                <w:sz w:val="18"/>
                <w:szCs w:val="20"/>
              </w:rPr>
            </w:pPr>
            <w:r w:rsidRPr="008511D7">
              <w:rPr>
                <w:sz w:val="18"/>
              </w:rPr>
              <w:t>(3,279)</w:t>
            </w:r>
          </w:p>
        </w:tc>
      </w:tr>
      <w:tr w:rsidR="00EC012C" w:rsidRPr="006F3813" w:rsidTr="008511D7">
        <w:trPr>
          <w:trHeight w:val="255"/>
        </w:trPr>
        <w:tc>
          <w:tcPr>
            <w:tcW w:w="2658" w:type="dxa"/>
            <w:hideMark/>
          </w:tcPr>
          <w:p w:rsidR="00EC012C" w:rsidRPr="006F3813" w:rsidRDefault="00EC012C" w:rsidP="00087C98">
            <w:pPr>
              <w:spacing w:after="0" w:line="240" w:lineRule="auto"/>
              <w:rPr>
                <w:sz w:val="18"/>
                <w:szCs w:val="20"/>
              </w:rPr>
            </w:pPr>
            <w:r w:rsidRPr="006F3813">
              <w:rPr>
                <w:sz w:val="18"/>
                <w:szCs w:val="20"/>
              </w:rPr>
              <w:t>Estate Projects</w:t>
            </w:r>
          </w:p>
        </w:tc>
        <w:tc>
          <w:tcPr>
            <w:tcW w:w="994" w:type="dxa"/>
            <w:noWrap/>
            <w:vAlign w:val="center"/>
            <w:hideMark/>
          </w:tcPr>
          <w:p w:rsidR="00EC012C" w:rsidRPr="00EC012C" w:rsidRDefault="00EC012C">
            <w:pPr>
              <w:spacing w:after="0"/>
              <w:jc w:val="right"/>
              <w:rPr>
                <w:bCs/>
                <w:sz w:val="18"/>
                <w:szCs w:val="20"/>
              </w:rPr>
            </w:pPr>
            <w:r w:rsidRPr="008511D7">
              <w:rPr>
                <w:sz w:val="18"/>
              </w:rPr>
              <w:t>14,068</w:t>
            </w:r>
          </w:p>
        </w:tc>
        <w:tc>
          <w:tcPr>
            <w:tcW w:w="1134" w:type="dxa"/>
            <w:noWrap/>
            <w:vAlign w:val="center"/>
            <w:hideMark/>
          </w:tcPr>
          <w:p w:rsidR="00EC012C" w:rsidRPr="00EC012C" w:rsidRDefault="00EC012C">
            <w:pPr>
              <w:spacing w:after="0"/>
              <w:jc w:val="right"/>
              <w:rPr>
                <w:bCs/>
                <w:sz w:val="18"/>
                <w:szCs w:val="20"/>
              </w:rPr>
            </w:pPr>
            <w:r w:rsidRPr="008511D7">
              <w:rPr>
                <w:sz w:val="18"/>
              </w:rPr>
              <w:t>5,147</w:t>
            </w:r>
          </w:p>
        </w:tc>
        <w:tc>
          <w:tcPr>
            <w:tcW w:w="1134" w:type="dxa"/>
            <w:noWrap/>
            <w:vAlign w:val="center"/>
            <w:hideMark/>
          </w:tcPr>
          <w:p w:rsidR="00EC012C" w:rsidRPr="00EC012C" w:rsidRDefault="00EC012C">
            <w:pPr>
              <w:spacing w:after="0"/>
              <w:jc w:val="right"/>
              <w:rPr>
                <w:bCs/>
                <w:sz w:val="18"/>
                <w:szCs w:val="20"/>
              </w:rPr>
            </w:pPr>
            <w:r w:rsidRPr="008511D7">
              <w:rPr>
                <w:sz w:val="18"/>
              </w:rPr>
              <w:t>(8,921)</w:t>
            </w:r>
          </w:p>
        </w:tc>
      </w:tr>
      <w:tr w:rsidR="00EC012C" w:rsidRPr="006F3813" w:rsidTr="008511D7">
        <w:trPr>
          <w:trHeight w:val="255"/>
        </w:trPr>
        <w:tc>
          <w:tcPr>
            <w:tcW w:w="2658" w:type="dxa"/>
            <w:hideMark/>
          </w:tcPr>
          <w:p w:rsidR="00EC012C" w:rsidRPr="006F3813" w:rsidRDefault="00EC012C" w:rsidP="00087C98">
            <w:pPr>
              <w:spacing w:after="0" w:line="240" w:lineRule="auto"/>
              <w:rPr>
                <w:sz w:val="18"/>
                <w:szCs w:val="20"/>
              </w:rPr>
            </w:pPr>
            <w:r w:rsidRPr="006F3813">
              <w:rPr>
                <w:sz w:val="18"/>
                <w:szCs w:val="20"/>
              </w:rPr>
              <w:t>Other Projects</w:t>
            </w:r>
          </w:p>
        </w:tc>
        <w:tc>
          <w:tcPr>
            <w:tcW w:w="994" w:type="dxa"/>
            <w:noWrap/>
            <w:vAlign w:val="center"/>
            <w:hideMark/>
          </w:tcPr>
          <w:p w:rsidR="00EC012C" w:rsidRPr="00EC012C" w:rsidRDefault="00EC012C">
            <w:pPr>
              <w:spacing w:after="0"/>
              <w:jc w:val="right"/>
              <w:rPr>
                <w:bCs/>
                <w:sz w:val="18"/>
                <w:szCs w:val="20"/>
              </w:rPr>
            </w:pPr>
            <w:r w:rsidRPr="008511D7">
              <w:rPr>
                <w:sz w:val="18"/>
              </w:rPr>
              <w:t>17,002</w:t>
            </w:r>
          </w:p>
        </w:tc>
        <w:tc>
          <w:tcPr>
            <w:tcW w:w="1134" w:type="dxa"/>
            <w:noWrap/>
            <w:vAlign w:val="center"/>
            <w:hideMark/>
          </w:tcPr>
          <w:p w:rsidR="00EC012C" w:rsidRPr="00EC012C" w:rsidRDefault="00EC012C">
            <w:pPr>
              <w:spacing w:after="0"/>
              <w:jc w:val="right"/>
              <w:rPr>
                <w:bCs/>
                <w:sz w:val="18"/>
                <w:szCs w:val="20"/>
              </w:rPr>
            </w:pPr>
            <w:r w:rsidRPr="008511D7">
              <w:rPr>
                <w:sz w:val="18"/>
              </w:rPr>
              <w:t>14,183</w:t>
            </w:r>
          </w:p>
        </w:tc>
        <w:tc>
          <w:tcPr>
            <w:tcW w:w="1134" w:type="dxa"/>
            <w:noWrap/>
            <w:vAlign w:val="center"/>
            <w:hideMark/>
          </w:tcPr>
          <w:p w:rsidR="00EC012C" w:rsidRPr="00EC012C" w:rsidRDefault="00EC012C">
            <w:pPr>
              <w:spacing w:after="0"/>
              <w:jc w:val="right"/>
              <w:rPr>
                <w:bCs/>
                <w:sz w:val="18"/>
                <w:szCs w:val="20"/>
              </w:rPr>
            </w:pPr>
            <w:r w:rsidRPr="008511D7">
              <w:rPr>
                <w:sz w:val="18"/>
              </w:rPr>
              <w:t>(2,819)</w:t>
            </w:r>
          </w:p>
        </w:tc>
      </w:tr>
      <w:tr w:rsidR="00EC012C" w:rsidRPr="006F3813" w:rsidTr="008511D7">
        <w:trPr>
          <w:trHeight w:val="255"/>
        </w:trPr>
        <w:tc>
          <w:tcPr>
            <w:tcW w:w="2658" w:type="dxa"/>
            <w:hideMark/>
          </w:tcPr>
          <w:p w:rsidR="00EC012C" w:rsidRPr="006F3813" w:rsidRDefault="00EC012C" w:rsidP="001B2455">
            <w:pPr>
              <w:spacing w:after="0" w:line="240" w:lineRule="auto"/>
              <w:rPr>
                <w:sz w:val="18"/>
                <w:szCs w:val="20"/>
              </w:rPr>
            </w:pPr>
            <w:r w:rsidRPr="006F3813">
              <w:rPr>
                <w:sz w:val="18"/>
                <w:szCs w:val="20"/>
              </w:rPr>
              <w:t>Contingency</w:t>
            </w:r>
          </w:p>
        </w:tc>
        <w:tc>
          <w:tcPr>
            <w:tcW w:w="994" w:type="dxa"/>
            <w:noWrap/>
            <w:vAlign w:val="center"/>
            <w:hideMark/>
          </w:tcPr>
          <w:p w:rsidR="00EC012C" w:rsidRPr="00EC012C" w:rsidRDefault="00EC012C">
            <w:pPr>
              <w:spacing w:after="0" w:line="240" w:lineRule="auto"/>
              <w:jc w:val="right"/>
              <w:rPr>
                <w:sz w:val="18"/>
                <w:szCs w:val="20"/>
              </w:rPr>
            </w:pPr>
            <w:r w:rsidRPr="008511D7">
              <w:rPr>
                <w:sz w:val="18"/>
              </w:rPr>
              <w:t>(6,686)</w:t>
            </w:r>
          </w:p>
        </w:tc>
        <w:tc>
          <w:tcPr>
            <w:tcW w:w="1134" w:type="dxa"/>
            <w:noWrap/>
            <w:vAlign w:val="center"/>
            <w:hideMark/>
          </w:tcPr>
          <w:p w:rsidR="00EC012C" w:rsidRPr="00EC012C" w:rsidRDefault="00EC012C">
            <w:pPr>
              <w:spacing w:after="0" w:line="240" w:lineRule="auto"/>
              <w:jc w:val="right"/>
              <w:rPr>
                <w:sz w:val="18"/>
                <w:szCs w:val="20"/>
              </w:rPr>
            </w:pPr>
            <w:r w:rsidRPr="008511D7">
              <w:rPr>
                <w:sz w:val="18"/>
              </w:rPr>
              <w:t>0</w:t>
            </w:r>
          </w:p>
        </w:tc>
        <w:tc>
          <w:tcPr>
            <w:tcW w:w="1134" w:type="dxa"/>
            <w:noWrap/>
            <w:vAlign w:val="center"/>
            <w:hideMark/>
          </w:tcPr>
          <w:p w:rsidR="00EC012C" w:rsidRPr="00EC012C" w:rsidRDefault="00EC012C">
            <w:pPr>
              <w:spacing w:after="0" w:line="240" w:lineRule="auto"/>
              <w:jc w:val="right"/>
              <w:rPr>
                <w:sz w:val="18"/>
                <w:szCs w:val="20"/>
              </w:rPr>
            </w:pPr>
            <w:r w:rsidRPr="008511D7">
              <w:rPr>
                <w:sz w:val="18"/>
              </w:rPr>
              <w:t>(6,686)</w:t>
            </w:r>
          </w:p>
        </w:tc>
      </w:tr>
      <w:tr w:rsidR="00EC012C" w:rsidRPr="006F3813" w:rsidTr="008511D7">
        <w:trPr>
          <w:trHeight w:val="255"/>
        </w:trPr>
        <w:tc>
          <w:tcPr>
            <w:tcW w:w="2658" w:type="dxa"/>
            <w:hideMark/>
          </w:tcPr>
          <w:p w:rsidR="00EC012C" w:rsidRPr="006F3813" w:rsidRDefault="00EC012C" w:rsidP="00087C98">
            <w:pPr>
              <w:spacing w:after="0" w:line="240" w:lineRule="auto"/>
              <w:rPr>
                <w:sz w:val="18"/>
                <w:szCs w:val="20"/>
              </w:rPr>
            </w:pPr>
            <w:r w:rsidRPr="00EC012C">
              <w:rPr>
                <w:sz w:val="18"/>
                <w:szCs w:val="20"/>
              </w:rPr>
              <w:t>Disposal fees for surplus site</w:t>
            </w:r>
          </w:p>
        </w:tc>
        <w:tc>
          <w:tcPr>
            <w:tcW w:w="994" w:type="dxa"/>
            <w:noWrap/>
            <w:vAlign w:val="center"/>
            <w:hideMark/>
          </w:tcPr>
          <w:p w:rsidR="00EC012C" w:rsidRPr="00EC012C" w:rsidRDefault="00EC012C">
            <w:pPr>
              <w:spacing w:after="0" w:line="240" w:lineRule="auto"/>
              <w:jc w:val="right"/>
              <w:rPr>
                <w:sz w:val="18"/>
                <w:szCs w:val="20"/>
              </w:rPr>
            </w:pPr>
            <w:r w:rsidRPr="008511D7">
              <w:rPr>
                <w:sz w:val="18"/>
              </w:rPr>
              <w:t>0</w:t>
            </w:r>
          </w:p>
        </w:tc>
        <w:tc>
          <w:tcPr>
            <w:tcW w:w="1134" w:type="dxa"/>
            <w:noWrap/>
            <w:vAlign w:val="center"/>
            <w:hideMark/>
          </w:tcPr>
          <w:p w:rsidR="00EC012C" w:rsidRPr="00EC012C" w:rsidRDefault="00EC012C">
            <w:pPr>
              <w:spacing w:after="0" w:line="240" w:lineRule="auto"/>
              <w:jc w:val="right"/>
              <w:rPr>
                <w:sz w:val="18"/>
                <w:szCs w:val="20"/>
              </w:rPr>
            </w:pPr>
            <w:r w:rsidRPr="008511D7">
              <w:rPr>
                <w:sz w:val="18"/>
              </w:rPr>
              <w:t>204</w:t>
            </w:r>
          </w:p>
        </w:tc>
        <w:tc>
          <w:tcPr>
            <w:tcW w:w="1134" w:type="dxa"/>
            <w:noWrap/>
            <w:vAlign w:val="center"/>
            <w:hideMark/>
          </w:tcPr>
          <w:p w:rsidR="00EC012C" w:rsidRPr="00EC012C" w:rsidRDefault="00EC012C">
            <w:pPr>
              <w:spacing w:after="0" w:line="240" w:lineRule="auto"/>
              <w:jc w:val="right"/>
              <w:rPr>
                <w:sz w:val="18"/>
                <w:szCs w:val="20"/>
              </w:rPr>
            </w:pPr>
            <w:r w:rsidRPr="008511D7">
              <w:rPr>
                <w:sz w:val="18"/>
              </w:rPr>
              <w:t>204</w:t>
            </w:r>
          </w:p>
        </w:tc>
      </w:tr>
      <w:tr w:rsidR="00EC012C" w:rsidRPr="006F3813" w:rsidTr="008511D7">
        <w:trPr>
          <w:trHeight w:val="255"/>
        </w:trPr>
        <w:tc>
          <w:tcPr>
            <w:tcW w:w="2658" w:type="dxa"/>
            <w:tcBorders>
              <w:top w:val="single" w:sz="4" w:space="0" w:color="auto"/>
              <w:bottom w:val="single" w:sz="4" w:space="0" w:color="auto"/>
            </w:tcBorders>
            <w:hideMark/>
          </w:tcPr>
          <w:p w:rsidR="00EC012C" w:rsidRPr="006F3813" w:rsidRDefault="00EC012C" w:rsidP="00087C98">
            <w:pPr>
              <w:spacing w:after="0" w:line="240" w:lineRule="auto"/>
              <w:rPr>
                <w:b/>
                <w:bCs/>
                <w:sz w:val="18"/>
                <w:szCs w:val="20"/>
              </w:rPr>
            </w:pPr>
            <w:r w:rsidRPr="006F3813">
              <w:rPr>
                <w:b/>
                <w:bCs/>
                <w:sz w:val="18"/>
                <w:szCs w:val="20"/>
              </w:rPr>
              <w:t>Total capital expenditure</w:t>
            </w:r>
          </w:p>
        </w:tc>
        <w:tc>
          <w:tcPr>
            <w:tcW w:w="994" w:type="dxa"/>
            <w:tcBorders>
              <w:top w:val="single" w:sz="4" w:space="0" w:color="auto"/>
              <w:bottom w:val="single" w:sz="4" w:space="0" w:color="auto"/>
            </w:tcBorders>
            <w:noWrap/>
            <w:vAlign w:val="center"/>
            <w:hideMark/>
          </w:tcPr>
          <w:p w:rsidR="00EC012C" w:rsidRPr="00EC012C" w:rsidRDefault="00EC012C">
            <w:pPr>
              <w:spacing w:after="0" w:line="240" w:lineRule="auto"/>
              <w:jc w:val="right"/>
              <w:rPr>
                <w:b/>
                <w:bCs/>
                <w:sz w:val="18"/>
                <w:szCs w:val="20"/>
              </w:rPr>
            </w:pPr>
            <w:r w:rsidRPr="008511D7">
              <w:rPr>
                <w:b/>
                <w:sz w:val="18"/>
              </w:rPr>
              <w:t>29,146</w:t>
            </w:r>
          </w:p>
        </w:tc>
        <w:tc>
          <w:tcPr>
            <w:tcW w:w="1134" w:type="dxa"/>
            <w:tcBorders>
              <w:top w:val="single" w:sz="4" w:space="0" w:color="auto"/>
              <w:bottom w:val="single" w:sz="4" w:space="0" w:color="auto"/>
            </w:tcBorders>
            <w:noWrap/>
            <w:vAlign w:val="center"/>
            <w:hideMark/>
          </w:tcPr>
          <w:p w:rsidR="00EC012C" w:rsidRPr="00EC012C" w:rsidRDefault="00EC012C">
            <w:pPr>
              <w:spacing w:after="0" w:line="240" w:lineRule="auto"/>
              <w:jc w:val="right"/>
              <w:rPr>
                <w:b/>
                <w:bCs/>
                <w:sz w:val="18"/>
                <w:szCs w:val="20"/>
              </w:rPr>
            </w:pPr>
            <w:r w:rsidRPr="008511D7">
              <w:rPr>
                <w:b/>
                <w:sz w:val="18"/>
              </w:rPr>
              <w:t>21,017</w:t>
            </w:r>
          </w:p>
        </w:tc>
        <w:tc>
          <w:tcPr>
            <w:tcW w:w="1134" w:type="dxa"/>
            <w:tcBorders>
              <w:top w:val="single" w:sz="4" w:space="0" w:color="auto"/>
              <w:bottom w:val="single" w:sz="4" w:space="0" w:color="auto"/>
            </w:tcBorders>
            <w:noWrap/>
            <w:vAlign w:val="center"/>
            <w:hideMark/>
          </w:tcPr>
          <w:p w:rsidR="00EC012C" w:rsidRPr="00EC012C" w:rsidRDefault="00EC012C">
            <w:pPr>
              <w:spacing w:after="0" w:line="240" w:lineRule="auto"/>
              <w:jc w:val="right"/>
              <w:rPr>
                <w:b/>
                <w:bCs/>
                <w:sz w:val="18"/>
                <w:szCs w:val="20"/>
              </w:rPr>
            </w:pPr>
            <w:r w:rsidRPr="008511D7">
              <w:rPr>
                <w:b/>
                <w:sz w:val="18"/>
              </w:rPr>
              <w:t>(8,129)</w:t>
            </w:r>
          </w:p>
        </w:tc>
      </w:tr>
      <w:tr w:rsidR="00087C98" w:rsidRPr="006F3813" w:rsidTr="00087C98">
        <w:trPr>
          <w:trHeight w:val="255"/>
        </w:trPr>
        <w:tc>
          <w:tcPr>
            <w:tcW w:w="2658" w:type="dxa"/>
            <w:tcBorders>
              <w:top w:val="single" w:sz="4" w:space="0" w:color="auto"/>
            </w:tcBorders>
            <w:hideMark/>
          </w:tcPr>
          <w:p w:rsidR="00087C98" w:rsidRPr="006F3813" w:rsidRDefault="00087C98" w:rsidP="00087C98">
            <w:pPr>
              <w:spacing w:after="0" w:line="240" w:lineRule="auto"/>
              <w:rPr>
                <w:sz w:val="18"/>
                <w:szCs w:val="20"/>
              </w:rPr>
            </w:pPr>
            <w:r w:rsidRPr="006F3813">
              <w:rPr>
                <w:sz w:val="18"/>
                <w:szCs w:val="20"/>
              </w:rPr>
              <w:t> </w:t>
            </w:r>
          </w:p>
        </w:tc>
        <w:tc>
          <w:tcPr>
            <w:tcW w:w="994" w:type="dxa"/>
            <w:tcBorders>
              <w:top w:val="single" w:sz="4" w:space="0" w:color="auto"/>
            </w:tcBorders>
            <w:noWrap/>
            <w:hideMark/>
          </w:tcPr>
          <w:p w:rsidR="00087C98" w:rsidRPr="006F3813" w:rsidRDefault="00087C98" w:rsidP="00087C98">
            <w:pPr>
              <w:spacing w:after="0" w:line="240" w:lineRule="auto"/>
              <w:jc w:val="right"/>
              <w:rPr>
                <w:sz w:val="18"/>
                <w:szCs w:val="20"/>
              </w:rPr>
            </w:pPr>
            <w:r w:rsidRPr="006F3813">
              <w:rPr>
                <w:sz w:val="18"/>
                <w:szCs w:val="20"/>
              </w:rPr>
              <w:t> </w:t>
            </w:r>
          </w:p>
        </w:tc>
        <w:tc>
          <w:tcPr>
            <w:tcW w:w="1134" w:type="dxa"/>
            <w:tcBorders>
              <w:top w:val="single" w:sz="4" w:space="0" w:color="auto"/>
            </w:tcBorders>
            <w:noWrap/>
            <w:hideMark/>
          </w:tcPr>
          <w:p w:rsidR="00087C98" w:rsidRPr="006F3813" w:rsidRDefault="00087C98" w:rsidP="00087C98">
            <w:pPr>
              <w:spacing w:after="0" w:line="240" w:lineRule="auto"/>
              <w:jc w:val="right"/>
              <w:rPr>
                <w:sz w:val="18"/>
                <w:szCs w:val="20"/>
              </w:rPr>
            </w:pPr>
            <w:r w:rsidRPr="006F3813">
              <w:rPr>
                <w:sz w:val="18"/>
                <w:szCs w:val="20"/>
              </w:rPr>
              <w:t> </w:t>
            </w:r>
          </w:p>
        </w:tc>
        <w:tc>
          <w:tcPr>
            <w:tcW w:w="1134" w:type="dxa"/>
            <w:tcBorders>
              <w:top w:val="single" w:sz="4" w:space="0" w:color="auto"/>
            </w:tcBorders>
            <w:noWrap/>
            <w:hideMark/>
          </w:tcPr>
          <w:p w:rsidR="00087C98" w:rsidRPr="006F3813" w:rsidRDefault="00087C98" w:rsidP="00087C98">
            <w:pPr>
              <w:spacing w:after="0" w:line="240" w:lineRule="auto"/>
              <w:jc w:val="right"/>
              <w:rPr>
                <w:sz w:val="18"/>
                <w:szCs w:val="20"/>
              </w:rPr>
            </w:pPr>
            <w:r w:rsidRPr="006F3813">
              <w:rPr>
                <w:sz w:val="18"/>
                <w:szCs w:val="20"/>
              </w:rPr>
              <w:t> </w:t>
            </w:r>
          </w:p>
        </w:tc>
      </w:tr>
      <w:tr w:rsidR="00087C98" w:rsidRPr="006F3813" w:rsidTr="00087C98">
        <w:trPr>
          <w:trHeight w:val="255"/>
        </w:trPr>
        <w:tc>
          <w:tcPr>
            <w:tcW w:w="2658" w:type="dxa"/>
            <w:hideMark/>
          </w:tcPr>
          <w:p w:rsidR="00087C98" w:rsidRPr="006F3813" w:rsidRDefault="00087C98" w:rsidP="00087C98">
            <w:pPr>
              <w:spacing w:after="0" w:line="240" w:lineRule="auto"/>
              <w:rPr>
                <w:sz w:val="18"/>
                <w:szCs w:val="20"/>
              </w:rPr>
            </w:pPr>
            <w:r w:rsidRPr="006F3813">
              <w:rPr>
                <w:sz w:val="18"/>
                <w:szCs w:val="20"/>
              </w:rPr>
              <w:t>Financed by:</w:t>
            </w:r>
          </w:p>
        </w:tc>
        <w:tc>
          <w:tcPr>
            <w:tcW w:w="994" w:type="dxa"/>
            <w:noWrap/>
            <w:hideMark/>
          </w:tcPr>
          <w:p w:rsidR="00087C98" w:rsidRPr="006F3813" w:rsidRDefault="00087C98" w:rsidP="00087C98">
            <w:pPr>
              <w:spacing w:after="0" w:line="240" w:lineRule="auto"/>
              <w:jc w:val="right"/>
              <w:rPr>
                <w:sz w:val="18"/>
                <w:szCs w:val="20"/>
              </w:rPr>
            </w:pPr>
            <w:r w:rsidRPr="006F3813">
              <w:rPr>
                <w:sz w:val="18"/>
                <w:szCs w:val="20"/>
              </w:rPr>
              <w:t> </w:t>
            </w:r>
          </w:p>
        </w:tc>
        <w:tc>
          <w:tcPr>
            <w:tcW w:w="1134" w:type="dxa"/>
            <w:noWrap/>
            <w:hideMark/>
          </w:tcPr>
          <w:p w:rsidR="00087C98" w:rsidRPr="006F3813" w:rsidRDefault="00087C98" w:rsidP="00087C98">
            <w:pPr>
              <w:spacing w:after="0" w:line="240" w:lineRule="auto"/>
              <w:jc w:val="right"/>
              <w:rPr>
                <w:sz w:val="18"/>
                <w:szCs w:val="20"/>
              </w:rPr>
            </w:pPr>
            <w:r w:rsidRPr="006F3813">
              <w:rPr>
                <w:sz w:val="18"/>
                <w:szCs w:val="20"/>
              </w:rPr>
              <w:t> </w:t>
            </w:r>
          </w:p>
        </w:tc>
        <w:tc>
          <w:tcPr>
            <w:tcW w:w="1134" w:type="dxa"/>
            <w:noWrap/>
            <w:hideMark/>
          </w:tcPr>
          <w:p w:rsidR="00087C98" w:rsidRPr="006F3813" w:rsidRDefault="00087C98" w:rsidP="00087C98">
            <w:pPr>
              <w:spacing w:after="0" w:line="240" w:lineRule="auto"/>
              <w:jc w:val="right"/>
              <w:rPr>
                <w:sz w:val="18"/>
                <w:szCs w:val="20"/>
              </w:rPr>
            </w:pPr>
            <w:r w:rsidRPr="006F3813">
              <w:rPr>
                <w:sz w:val="18"/>
                <w:szCs w:val="20"/>
              </w:rPr>
              <w:t> </w:t>
            </w:r>
          </w:p>
        </w:tc>
      </w:tr>
      <w:tr w:rsidR="00087C98" w:rsidRPr="006F3813" w:rsidTr="00087C98">
        <w:trPr>
          <w:trHeight w:val="255"/>
        </w:trPr>
        <w:tc>
          <w:tcPr>
            <w:tcW w:w="2658" w:type="dxa"/>
            <w:hideMark/>
          </w:tcPr>
          <w:p w:rsidR="00087C98" w:rsidRPr="006F3813" w:rsidRDefault="00087C98" w:rsidP="00087C98">
            <w:pPr>
              <w:spacing w:after="0" w:line="240" w:lineRule="auto"/>
              <w:rPr>
                <w:sz w:val="18"/>
                <w:szCs w:val="20"/>
              </w:rPr>
            </w:pPr>
            <w:r w:rsidRPr="006F3813">
              <w:rPr>
                <w:sz w:val="18"/>
                <w:szCs w:val="20"/>
              </w:rPr>
              <w:t>Capital Receipts</w:t>
            </w:r>
          </w:p>
        </w:tc>
        <w:tc>
          <w:tcPr>
            <w:tcW w:w="994" w:type="dxa"/>
            <w:noWrap/>
            <w:vAlign w:val="center"/>
            <w:hideMark/>
          </w:tcPr>
          <w:p w:rsidR="00087C98" w:rsidRPr="006F3813" w:rsidRDefault="00087C98" w:rsidP="00087C98">
            <w:pPr>
              <w:spacing w:after="0"/>
              <w:jc w:val="right"/>
              <w:rPr>
                <w:sz w:val="18"/>
                <w:szCs w:val="20"/>
              </w:rPr>
            </w:pPr>
            <w:r w:rsidRPr="006F3813">
              <w:rPr>
                <w:sz w:val="18"/>
                <w:szCs w:val="20"/>
              </w:rPr>
              <w:t>29,146</w:t>
            </w:r>
          </w:p>
        </w:tc>
        <w:tc>
          <w:tcPr>
            <w:tcW w:w="1134" w:type="dxa"/>
            <w:noWrap/>
            <w:vAlign w:val="center"/>
            <w:hideMark/>
          </w:tcPr>
          <w:p w:rsidR="00087C98" w:rsidRPr="006F3813" w:rsidRDefault="00087C98">
            <w:pPr>
              <w:spacing w:after="0"/>
              <w:jc w:val="right"/>
              <w:rPr>
                <w:sz w:val="18"/>
                <w:szCs w:val="20"/>
              </w:rPr>
            </w:pPr>
            <w:r w:rsidRPr="006F3813">
              <w:rPr>
                <w:sz w:val="18"/>
                <w:szCs w:val="20"/>
              </w:rPr>
              <w:t>20,</w:t>
            </w:r>
            <w:r w:rsidR="00277492">
              <w:rPr>
                <w:sz w:val="18"/>
                <w:szCs w:val="20"/>
              </w:rPr>
              <w:t>842</w:t>
            </w:r>
          </w:p>
        </w:tc>
        <w:tc>
          <w:tcPr>
            <w:tcW w:w="1134" w:type="dxa"/>
            <w:noWrap/>
            <w:vAlign w:val="center"/>
            <w:hideMark/>
          </w:tcPr>
          <w:p w:rsidR="00087C98" w:rsidRPr="006F3813" w:rsidRDefault="00087C98">
            <w:pPr>
              <w:spacing w:after="0"/>
              <w:jc w:val="right"/>
              <w:rPr>
                <w:sz w:val="18"/>
                <w:szCs w:val="20"/>
              </w:rPr>
            </w:pPr>
            <w:r w:rsidRPr="006F3813">
              <w:rPr>
                <w:sz w:val="18"/>
                <w:szCs w:val="20"/>
              </w:rPr>
              <w:t>(8,</w:t>
            </w:r>
            <w:r w:rsidR="00277492">
              <w:rPr>
                <w:sz w:val="18"/>
                <w:szCs w:val="20"/>
              </w:rPr>
              <w:t>304</w:t>
            </w:r>
            <w:r w:rsidRPr="006F3813">
              <w:rPr>
                <w:sz w:val="18"/>
                <w:szCs w:val="20"/>
              </w:rPr>
              <w:t>)</w:t>
            </w:r>
          </w:p>
        </w:tc>
      </w:tr>
      <w:tr w:rsidR="00087C98" w:rsidRPr="006F3813" w:rsidTr="00087C98">
        <w:trPr>
          <w:trHeight w:val="255"/>
        </w:trPr>
        <w:tc>
          <w:tcPr>
            <w:tcW w:w="2658" w:type="dxa"/>
            <w:hideMark/>
          </w:tcPr>
          <w:p w:rsidR="00087C98" w:rsidRPr="006F3813" w:rsidRDefault="00087C98" w:rsidP="00087C98">
            <w:pPr>
              <w:spacing w:after="0" w:line="240" w:lineRule="auto"/>
              <w:rPr>
                <w:sz w:val="18"/>
                <w:szCs w:val="20"/>
              </w:rPr>
            </w:pPr>
            <w:r w:rsidRPr="006F3813">
              <w:rPr>
                <w:sz w:val="18"/>
                <w:szCs w:val="20"/>
              </w:rPr>
              <w:t>Grants</w:t>
            </w:r>
          </w:p>
        </w:tc>
        <w:tc>
          <w:tcPr>
            <w:tcW w:w="994" w:type="dxa"/>
            <w:noWrap/>
            <w:vAlign w:val="center"/>
            <w:hideMark/>
          </w:tcPr>
          <w:p w:rsidR="00087C98" w:rsidRPr="006F3813" w:rsidRDefault="00087C98" w:rsidP="00087C98">
            <w:pPr>
              <w:spacing w:after="0"/>
              <w:jc w:val="right"/>
              <w:rPr>
                <w:sz w:val="18"/>
                <w:szCs w:val="20"/>
              </w:rPr>
            </w:pPr>
            <w:r w:rsidRPr="006F3813">
              <w:rPr>
                <w:sz w:val="18"/>
                <w:szCs w:val="20"/>
              </w:rPr>
              <w:t>0</w:t>
            </w:r>
          </w:p>
        </w:tc>
        <w:tc>
          <w:tcPr>
            <w:tcW w:w="1134" w:type="dxa"/>
            <w:noWrap/>
            <w:vAlign w:val="center"/>
            <w:hideMark/>
          </w:tcPr>
          <w:p w:rsidR="00087C98" w:rsidRPr="006F3813" w:rsidRDefault="00087C98" w:rsidP="00087C98">
            <w:pPr>
              <w:spacing w:after="0"/>
              <w:jc w:val="right"/>
              <w:rPr>
                <w:sz w:val="18"/>
                <w:szCs w:val="20"/>
              </w:rPr>
            </w:pPr>
            <w:r w:rsidRPr="006F3813">
              <w:rPr>
                <w:sz w:val="18"/>
                <w:szCs w:val="20"/>
              </w:rPr>
              <w:t>175</w:t>
            </w:r>
          </w:p>
        </w:tc>
        <w:tc>
          <w:tcPr>
            <w:tcW w:w="1134" w:type="dxa"/>
            <w:noWrap/>
            <w:vAlign w:val="center"/>
            <w:hideMark/>
          </w:tcPr>
          <w:p w:rsidR="00087C98" w:rsidRPr="006F3813" w:rsidRDefault="00087C98" w:rsidP="00087C98">
            <w:pPr>
              <w:spacing w:after="0"/>
              <w:jc w:val="right"/>
              <w:rPr>
                <w:sz w:val="18"/>
                <w:szCs w:val="20"/>
              </w:rPr>
            </w:pPr>
            <w:r w:rsidRPr="006F3813">
              <w:rPr>
                <w:sz w:val="18"/>
                <w:szCs w:val="20"/>
              </w:rPr>
              <w:t>175</w:t>
            </w:r>
          </w:p>
        </w:tc>
      </w:tr>
      <w:tr w:rsidR="00087C98" w:rsidRPr="006F3813" w:rsidTr="00087C98">
        <w:trPr>
          <w:trHeight w:val="255"/>
        </w:trPr>
        <w:tc>
          <w:tcPr>
            <w:tcW w:w="2658" w:type="dxa"/>
            <w:hideMark/>
          </w:tcPr>
          <w:p w:rsidR="00087C98" w:rsidRPr="006F3813" w:rsidRDefault="00087C98" w:rsidP="00087C98">
            <w:pPr>
              <w:spacing w:after="0" w:line="240" w:lineRule="auto"/>
              <w:rPr>
                <w:sz w:val="18"/>
                <w:szCs w:val="20"/>
              </w:rPr>
            </w:pPr>
            <w:r w:rsidRPr="006F3813">
              <w:rPr>
                <w:sz w:val="18"/>
                <w:szCs w:val="20"/>
              </w:rPr>
              <w:t>Borrowing</w:t>
            </w:r>
          </w:p>
        </w:tc>
        <w:tc>
          <w:tcPr>
            <w:tcW w:w="994" w:type="dxa"/>
            <w:noWrap/>
            <w:vAlign w:val="center"/>
            <w:hideMark/>
          </w:tcPr>
          <w:p w:rsidR="00087C98" w:rsidRPr="006F3813" w:rsidRDefault="00087C98" w:rsidP="00087C98">
            <w:pPr>
              <w:spacing w:after="0"/>
              <w:jc w:val="right"/>
              <w:rPr>
                <w:sz w:val="18"/>
                <w:szCs w:val="20"/>
              </w:rPr>
            </w:pPr>
            <w:r w:rsidRPr="006F3813">
              <w:rPr>
                <w:sz w:val="18"/>
                <w:szCs w:val="20"/>
              </w:rPr>
              <w:t>0</w:t>
            </w:r>
          </w:p>
        </w:tc>
        <w:tc>
          <w:tcPr>
            <w:tcW w:w="1134" w:type="dxa"/>
            <w:noWrap/>
            <w:vAlign w:val="center"/>
            <w:hideMark/>
          </w:tcPr>
          <w:p w:rsidR="00087C98" w:rsidRPr="006F3813" w:rsidRDefault="00087C98" w:rsidP="00087C98">
            <w:pPr>
              <w:spacing w:after="0"/>
              <w:jc w:val="right"/>
              <w:rPr>
                <w:sz w:val="18"/>
                <w:szCs w:val="20"/>
              </w:rPr>
            </w:pPr>
            <w:r w:rsidRPr="006F3813">
              <w:rPr>
                <w:sz w:val="18"/>
                <w:szCs w:val="20"/>
              </w:rPr>
              <w:t>0</w:t>
            </w:r>
          </w:p>
        </w:tc>
        <w:tc>
          <w:tcPr>
            <w:tcW w:w="1134" w:type="dxa"/>
            <w:noWrap/>
            <w:vAlign w:val="center"/>
            <w:hideMark/>
          </w:tcPr>
          <w:p w:rsidR="00087C98" w:rsidRPr="006F3813" w:rsidRDefault="00087C98" w:rsidP="00087C98">
            <w:pPr>
              <w:spacing w:after="0"/>
              <w:jc w:val="right"/>
              <w:rPr>
                <w:sz w:val="18"/>
                <w:szCs w:val="20"/>
              </w:rPr>
            </w:pPr>
            <w:r w:rsidRPr="006F3813">
              <w:rPr>
                <w:sz w:val="18"/>
                <w:szCs w:val="20"/>
              </w:rPr>
              <w:t>0</w:t>
            </w:r>
          </w:p>
        </w:tc>
      </w:tr>
      <w:tr w:rsidR="00087C98" w:rsidRPr="006F3813" w:rsidTr="00087C98">
        <w:trPr>
          <w:trHeight w:val="255"/>
        </w:trPr>
        <w:tc>
          <w:tcPr>
            <w:tcW w:w="2658" w:type="dxa"/>
            <w:tcBorders>
              <w:top w:val="single" w:sz="4" w:space="0" w:color="auto"/>
              <w:bottom w:val="single" w:sz="4" w:space="0" w:color="auto"/>
            </w:tcBorders>
            <w:hideMark/>
          </w:tcPr>
          <w:p w:rsidR="00087C98" w:rsidRPr="006F3813" w:rsidRDefault="00087C98" w:rsidP="00087C98">
            <w:pPr>
              <w:spacing w:after="0" w:line="240" w:lineRule="auto"/>
              <w:rPr>
                <w:b/>
                <w:bCs/>
                <w:sz w:val="18"/>
                <w:szCs w:val="20"/>
              </w:rPr>
            </w:pPr>
            <w:r w:rsidRPr="006F3813">
              <w:rPr>
                <w:b/>
                <w:bCs/>
                <w:sz w:val="18"/>
                <w:szCs w:val="20"/>
              </w:rPr>
              <w:t>Total</w:t>
            </w:r>
          </w:p>
        </w:tc>
        <w:tc>
          <w:tcPr>
            <w:tcW w:w="994" w:type="dxa"/>
            <w:tcBorders>
              <w:top w:val="single" w:sz="4" w:space="0" w:color="auto"/>
              <w:bottom w:val="single" w:sz="4" w:space="0" w:color="auto"/>
            </w:tcBorders>
            <w:noWrap/>
            <w:vAlign w:val="center"/>
            <w:hideMark/>
          </w:tcPr>
          <w:p w:rsidR="00087C98" w:rsidRPr="006F3813" w:rsidRDefault="00087C98" w:rsidP="00087C98">
            <w:pPr>
              <w:spacing w:after="0" w:line="240" w:lineRule="auto"/>
              <w:jc w:val="right"/>
              <w:rPr>
                <w:b/>
                <w:bCs/>
                <w:sz w:val="18"/>
                <w:szCs w:val="20"/>
              </w:rPr>
            </w:pPr>
            <w:r w:rsidRPr="006F3813">
              <w:rPr>
                <w:b/>
                <w:bCs/>
                <w:sz w:val="18"/>
                <w:szCs w:val="20"/>
              </w:rPr>
              <w:t>29,146</w:t>
            </w:r>
          </w:p>
        </w:tc>
        <w:tc>
          <w:tcPr>
            <w:tcW w:w="1134" w:type="dxa"/>
            <w:tcBorders>
              <w:top w:val="single" w:sz="4" w:space="0" w:color="auto"/>
              <w:bottom w:val="single" w:sz="4" w:space="0" w:color="auto"/>
            </w:tcBorders>
            <w:noWrap/>
            <w:vAlign w:val="center"/>
            <w:hideMark/>
          </w:tcPr>
          <w:p w:rsidR="00087C98" w:rsidRPr="006F3813" w:rsidRDefault="00087C98">
            <w:pPr>
              <w:spacing w:after="0" w:line="240" w:lineRule="auto"/>
              <w:jc w:val="right"/>
              <w:rPr>
                <w:b/>
                <w:bCs/>
                <w:sz w:val="18"/>
                <w:szCs w:val="20"/>
              </w:rPr>
            </w:pPr>
            <w:r w:rsidRPr="006F3813">
              <w:rPr>
                <w:b/>
                <w:bCs/>
                <w:sz w:val="18"/>
                <w:szCs w:val="20"/>
              </w:rPr>
              <w:t>2</w:t>
            </w:r>
            <w:r w:rsidR="00277492">
              <w:rPr>
                <w:b/>
                <w:bCs/>
                <w:sz w:val="18"/>
                <w:szCs w:val="20"/>
              </w:rPr>
              <w:t>1</w:t>
            </w:r>
            <w:r w:rsidRPr="006F3813">
              <w:rPr>
                <w:b/>
                <w:bCs/>
                <w:sz w:val="18"/>
                <w:szCs w:val="20"/>
              </w:rPr>
              <w:t>,</w:t>
            </w:r>
            <w:r w:rsidR="00277492">
              <w:rPr>
                <w:b/>
                <w:bCs/>
                <w:sz w:val="18"/>
                <w:szCs w:val="20"/>
              </w:rPr>
              <w:t>017</w:t>
            </w:r>
          </w:p>
        </w:tc>
        <w:tc>
          <w:tcPr>
            <w:tcW w:w="1134" w:type="dxa"/>
            <w:tcBorders>
              <w:top w:val="single" w:sz="4" w:space="0" w:color="auto"/>
              <w:bottom w:val="single" w:sz="4" w:space="0" w:color="auto"/>
            </w:tcBorders>
            <w:noWrap/>
            <w:vAlign w:val="center"/>
            <w:hideMark/>
          </w:tcPr>
          <w:p w:rsidR="00087C98" w:rsidRPr="006F3813" w:rsidRDefault="00087C98">
            <w:pPr>
              <w:spacing w:after="0" w:line="240" w:lineRule="auto"/>
              <w:jc w:val="right"/>
              <w:rPr>
                <w:b/>
                <w:bCs/>
                <w:sz w:val="18"/>
                <w:szCs w:val="20"/>
              </w:rPr>
            </w:pPr>
            <w:r w:rsidRPr="006F3813">
              <w:rPr>
                <w:b/>
                <w:bCs/>
                <w:sz w:val="18"/>
                <w:szCs w:val="20"/>
              </w:rPr>
              <w:t>(8,</w:t>
            </w:r>
            <w:r w:rsidR="00277492">
              <w:rPr>
                <w:b/>
                <w:bCs/>
                <w:sz w:val="18"/>
                <w:szCs w:val="20"/>
              </w:rPr>
              <w:t>129</w:t>
            </w:r>
            <w:r w:rsidRPr="006F3813">
              <w:rPr>
                <w:b/>
                <w:bCs/>
                <w:sz w:val="18"/>
                <w:szCs w:val="20"/>
              </w:rPr>
              <w:t>)</w:t>
            </w:r>
          </w:p>
        </w:tc>
      </w:tr>
    </w:tbl>
    <w:p w:rsidR="00087C98" w:rsidRPr="006F3813" w:rsidRDefault="00087C98" w:rsidP="00087C98">
      <w:pPr>
        <w:spacing w:after="0"/>
        <w:rPr>
          <w:b/>
          <w:sz w:val="20"/>
          <w:szCs w:val="20"/>
        </w:rPr>
      </w:pPr>
      <w:r>
        <w:rPr>
          <w:b/>
          <w:sz w:val="20"/>
          <w:szCs w:val="20"/>
        </w:rPr>
        <w:br w:type="column"/>
      </w:r>
      <w:r w:rsidRPr="006F3813">
        <w:rPr>
          <w:b/>
          <w:sz w:val="20"/>
          <w:szCs w:val="20"/>
        </w:rPr>
        <w:t>Revenue Position</w:t>
      </w:r>
    </w:p>
    <w:p w:rsidR="00087C98" w:rsidRPr="00AB48D8" w:rsidRDefault="00087C98" w:rsidP="00087C98">
      <w:pPr>
        <w:spacing w:after="0"/>
        <w:rPr>
          <w:sz w:val="20"/>
          <w:szCs w:val="20"/>
        </w:rPr>
      </w:pPr>
      <w:r w:rsidRPr="00BA15C5">
        <w:rPr>
          <w:sz w:val="20"/>
          <w:szCs w:val="20"/>
        </w:rPr>
        <w:t xml:space="preserve">The </w:t>
      </w:r>
      <w:r w:rsidR="001B2455" w:rsidRPr="008511D7">
        <w:rPr>
          <w:sz w:val="20"/>
          <w:szCs w:val="20"/>
        </w:rPr>
        <w:t>provisional</w:t>
      </w:r>
      <w:r w:rsidRPr="00AB48D8">
        <w:rPr>
          <w:sz w:val="20"/>
          <w:szCs w:val="20"/>
        </w:rPr>
        <w:t xml:space="preserve"> outturn position</w:t>
      </w:r>
      <w:r w:rsidR="001B2455" w:rsidRPr="008511D7">
        <w:rPr>
          <w:sz w:val="20"/>
          <w:szCs w:val="20"/>
        </w:rPr>
        <w:t xml:space="preserve"> is</w:t>
      </w:r>
      <w:r w:rsidRPr="00AB48D8">
        <w:rPr>
          <w:sz w:val="20"/>
          <w:szCs w:val="20"/>
        </w:rPr>
        <w:t xml:space="preserve"> for an underspend of £</w:t>
      </w:r>
      <w:r w:rsidR="001B2455" w:rsidRPr="008511D7">
        <w:rPr>
          <w:sz w:val="20"/>
          <w:szCs w:val="20"/>
        </w:rPr>
        <w:t>11.9</w:t>
      </w:r>
      <w:r w:rsidRPr="00AB48D8">
        <w:rPr>
          <w:sz w:val="20"/>
          <w:szCs w:val="20"/>
        </w:rPr>
        <w:t>m and related to the following main items:</w:t>
      </w:r>
    </w:p>
    <w:p w:rsidR="00087C98" w:rsidRPr="00AB48D8" w:rsidRDefault="00087C98" w:rsidP="00087C98">
      <w:pPr>
        <w:numPr>
          <w:ilvl w:val="0"/>
          <w:numId w:val="58"/>
        </w:numPr>
        <w:spacing w:after="0" w:line="276" w:lineRule="auto"/>
        <w:rPr>
          <w:sz w:val="20"/>
          <w:szCs w:val="20"/>
        </w:rPr>
      </w:pPr>
      <w:r w:rsidRPr="00AE06D3">
        <w:rPr>
          <w:sz w:val="20"/>
          <w:szCs w:val="20"/>
        </w:rPr>
        <w:t>Operational Salaries</w:t>
      </w:r>
      <w:r w:rsidRPr="008511D7">
        <w:rPr>
          <w:sz w:val="20"/>
          <w:szCs w:val="20"/>
        </w:rPr>
        <w:t xml:space="preserve"> (£</w:t>
      </w:r>
      <w:r w:rsidR="004144F8">
        <w:rPr>
          <w:sz w:val="20"/>
          <w:szCs w:val="20"/>
        </w:rPr>
        <w:t>5</w:t>
      </w:r>
      <w:r w:rsidRPr="00AB48D8">
        <w:rPr>
          <w:sz w:val="20"/>
          <w:szCs w:val="20"/>
        </w:rPr>
        <w:t>.</w:t>
      </w:r>
      <w:r w:rsidR="004144F8">
        <w:rPr>
          <w:sz w:val="20"/>
          <w:szCs w:val="20"/>
        </w:rPr>
        <w:t>3</w:t>
      </w:r>
      <w:r w:rsidRPr="00AB48D8">
        <w:rPr>
          <w:sz w:val="20"/>
          <w:szCs w:val="20"/>
        </w:rPr>
        <w:t>m)</w:t>
      </w:r>
    </w:p>
    <w:p w:rsidR="00087C98" w:rsidRPr="00AB48D8" w:rsidRDefault="00087C98" w:rsidP="00087C98">
      <w:pPr>
        <w:numPr>
          <w:ilvl w:val="0"/>
          <w:numId w:val="58"/>
        </w:numPr>
        <w:spacing w:after="0" w:line="276" w:lineRule="auto"/>
        <w:rPr>
          <w:sz w:val="20"/>
          <w:szCs w:val="20"/>
        </w:rPr>
      </w:pPr>
      <w:r w:rsidRPr="00AE06D3">
        <w:rPr>
          <w:sz w:val="20"/>
          <w:szCs w:val="20"/>
        </w:rPr>
        <w:t xml:space="preserve">Other staff </w:t>
      </w:r>
      <w:r w:rsidRPr="00420D02">
        <w:rPr>
          <w:sz w:val="20"/>
          <w:szCs w:val="20"/>
        </w:rPr>
        <w:t>(£</w:t>
      </w:r>
      <w:r w:rsidR="004144F8">
        <w:rPr>
          <w:sz w:val="20"/>
          <w:szCs w:val="20"/>
        </w:rPr>
        <w:t>1</w:t>
      </w:r>
      <w:r w:rsidRPr="00AB48D8">
        <w:rPr>
          <w:sz w:val="20"/>
          <w:szCs w:val="20"/>
        </w:rPr>
        <w:t>.</w:t>
      </w:r>
      <w:r w:rsidR="004144F8">
        <w:rPr>
          <w:sz w:val="20"/>
          <w:szCs w:val="20"/>
        </w:rPr>
        <w:t>2</w:t>
      </w:r>
      <w:r w:rsidRPr="00AB48D8">
        <w:rPr>
          <w:sz w:val="20"/>
          <w:szCs w:val="20"/>
        </w:rPr>
        <w:t>m)</w:t>
      </w:r>
    </w:p>
    <w:p w:rsidR="00087C98" w:rsidRDefault="00087C98" w:rsidP="00087C98">
      <w:pPr>
        <w:numPr>
          <w:ilvl w:val="0"/>
          <w:numId w:val="58"/>
        </w:numPr>
        <w:spacing w:after="0" w:line="276" w:lineRule="auto"/>
        <w:rPr>
          <w:sz w:val="20"/>
          <w:szCs w:val="20"/>
        </w:rPr>
      </w:pPr>
      <w:r w:rsidRPr="00420D02">
        <w:rPr>
          <w:sz w:val="20"/>
          <w:szCs w:val="20"/>
        </w:rPr>
        <w:t xml:space="preserve">Employee related </w:t>
      </w:r>
      <w:r w:rsidRPr="00BA15C5">
        <w:rPr>
          <w:sz w:val="20"/>
          <w:szCs w:val="20"/>
        </w:rPr>
        <w:t>(£</w:t>
      </w:r>
      <w:r w:rsidR="004144F8">
        <w:rPr>
          <w:sz w:val="20"/>
          <w:szCs w:val="20"/>
        </w:rPr>
        <w:t>1</w:t>
      </w:r>
      <w:r w:rsidRPr="00AB48D8">
        <w:rPr>
          <w:sz w:val="20"/>
          <w:szCs w:val="20"/>
        </w:rPr>
        <w:t>.</w:t>
      </w:r>
      <w:r w:rsidR="004144F8">
        <w:rPr>
          <w:sz w:val="20"/>
          <w:szCs w:val="20"/>
        </w:rPr>
        <w:t>1</w:t>
      </w:r>
      <w:r w:rsidRPr="00AB48D8">
        <w:rPr>
          <w:sz w:val="20"/>
          <w:szCs w:val="20"/>
        </w:rPr>
        <w:t>m</w:t>
      </w:r>
      <w:r w:rsidR="004144F8">
        <w:rPr>
          <w:sz w:val="20"/>
          <w:szCs w:val="20"/>
        </w:rPr>
        <w:t>)</w:t>
      </w:r>
    </w:p>
    <w:p w:rsidR="004144F8" w:rsidRDefault="004144F8" w:rsidP="00087C98">
      <w:pPr>
        <w:numPr>
          <w:ilvl w:val="0"/>
          <w:numId w:val="58"/>
        </w:numPr>
        <w:spacing w:after="0" w:line="276" w:lineRule="auto"/>
        <w:rPr>
          <w:sz w:val="20"/>
          <w:szCs w:val="20"/>
        </w:rPr>
      </w:pPr>
      <w:r>
        <w:rPr>
          <w:sz w:val="20"/>
          <w:szCs w:val="20"/>
        </w:rPr>
        <w:t>Premises (£1.0)</w:t>
      </w:r>
    </w:p>
    <w:p w:rsidR="004144F8" w:rsidRPr="00AB48D8" w:rsidRDefault="004144F8" w:rsidP="00087C98">
      <w:pPr>
        <w:numPr>
          <w:ilvl w:val="0"/>
          <w:numId w:val="58"/>
        </w:numPr>
        <w:spacing w:after="0" w:line="276" w:lineRule="auto"/>
        <w:rPr>
          <w:sz w:val="20"/>
          <w:szCs w:val="20"/>
        </w:rPr>
      </w:pPr>
      <w:r>
        <w:rPr>
          <w:sz w:val="20"/>
          <w:szCs w:val="20"/>
        </w:rPr>
        <w:t>Supplies and Services (£1.1m)</w:t>
      </w:r>
    </w:p>
    <w:p w:rsidR="00087C98" w:rsidRPr="00AB48D8" w:rsidRDefault="00087C98" w:rsidP="00087C98">
      <w:pPr>
        <w:numPr>
          <w:ilvl w:val="0"/>
          <w:numId w:val="58"/>
        </w:numPr>
        <w:spacing w:after="0" w:line="276" w:lineRule="auto"/>
        <w:rPr>
          <w:sz w:val="20"/>
          <w:szCs w:val="20"/>
        </w:rPr>
      </w:pPr>
      <w:r w:rsidRPr="00420D02">
        <w:rPr>
          <w:sz w:val="20"/>
          <w:szCs w:val="20"/>
        </w:rPr>
        <w:t xml:space="preserve">Additional income </w:t>
      </w:r>
      <w:r w:rsidR="004144F8">
        <w:rPr>
          <w:sz w:val="20"/>
          <w:szCs w:val="20"/>
        </w:rPr>
        <w:t>(£2.1)</w:t>
      </w:r>
    </w:p>
    <w:p w:rsidR="00087C98" w:rsidRPr="008B5D4A" w:rsidRDefault="00087C98" w:rsidP="00087C98">
      <w:pPr>
        <w:spacing w:after="0"/>
        <w:rPr>
          <w:sz w:val="20"/>
          <w:szCs w:val="20"/>
          <w:highlight w:val="yellow"/>
        </w:rPr>
      </w:pPr>
    </w:p>
    <w:p w:rsidR="00087C98" w:rsidRPr="00256171" w:rsidRDefault="00087C98" w:rsidP="00087C98">
      <w:pPr>
        <w:spacing w:after="0"/>
        <w:rPr>
          <w:b/>
          <w:sz w:val="20"/>
          <w:szCs w:val="20"/>
        </w:rPr>
      </w:pPr>
      <w:r w:rsidRPr="00256171">
        <w:rPr>
          <w:b/>
          <w:sz w:val="20"/>
          <w:szCs w:val="20"/>
        </w:rPr>
        <w:t>Capital Position</w:t>
      </w:r>
    </w:p>
    <w:p w:rsidR="00AB48D8" w:rsidRPr="008511D7" w:rsidRDefault="004144F8" w:rsidP="00087C98">
      <w:pPr>
        <w:spacing w:after="0"/>
        <w:rPr>
          <w:sz w:val="20"/>
          <w:szCs w:val="20"/>
          <w:highlight w:val="yellow"/>
        </w:rPr>
      </w:pPr>
      <w:r w:rsidRPr="004144F8">
        <w:rPr>
          <w:sz w:val="20"/>
          <w:szCs w:val="20"/>
        </w:rPr>
        <w:t>The approved capital programme for 2017/18 is £29.1m and the provisional outturn is £21.0m, which is £8.1m less than the budget. This variance relates to the following main items , and are largely as a result of re-phasing between financial years.</w:t>
      </w:r>
    </w:p>
    <w:p w:rsidR="00AB48D8" w:rsidRPr="00AB48D8" w:rsidRDefault="00AB48D8" w:rsidP="00AB48D8">
      <w:pPr>
        <w:numPr>
          <w:ilvl w:val="0"/>
          <w:numId w:val="58"/>
        </w:numPr>
        <w:spacing w:after="0" w:line="276" w:lineRule="auto"/>
        <w:rPr>
          <w:sz w:val="20"/>
          <w:szCs w:val="20"/>
        </w:rPr>
      </w:pPr>
      <w:r w:rsidRPr="00AB48D8">
        <w:rPr>
          <w:sz w:val="20"/>
          <w:szCs w:val="20"/>
        </w:rPr>
        <w:t>Fleet Associated Projects (£2.1m)</w:t>
      </w:r>
    </w:p>
    <w:p w:rsidR="00AB48D8" w:rsidRPr="00AB48D8" w:rsidRDefault="00AB48D8" w:rsidP="00AB48D8">
      <w:pPr>
        <w:numPr>
          <w:ilvl w:val="0"/>
          <w:numId w:val="58"/>
        </w:numPr>
        <w:spacing w:after="0" w:line="276" w:lineRule="auto"/>
        <w:rPr>
          <w:sz w:val="20"/>
          <w:szCs w:val="20"/>
        </w:rPr>
      </w:pPr>
      <w:r w:rsidRPr="00AB48D8">
        <w:rPr>
          <w:sz w:val="20"/>
          <w:szCs w:val="20"/>
        </w:rPr>
        <w:t>PEG/BDC Development (£3.5m)</w:t>
      </w:r>
    </w:p>
    <w:p w:rsidR="00AB48D8" w:rsidRPr="00AB48D8" w:rsidRDefault="00AB48D8" w:rsidP="00AB48D8">
      <w:pPr>
        <w:numPr>
          <w:ilvl w:val="0"/>
          <w:numId w:val="58"/>
        </w:numPr>
        <w:spacing w:after="0" w:line="276" w:lineRule="auto"/>
        <w:rPr>
          <w:sz w:val="20"/>
          <w:szCs w:val="20"/>
        </w:rPr>
      </w:pPr>
      <w:r w:rsidRPr="00AB48D8">
        <w:rPr>
          <w:sz w:val="20"/>
          <w:szCs w:val="20"/>
        </w:rPr>
        <w:t>Plumstead Re-development (£2.5m)</w:t>
      </w:r>
    </w:p>
    <w:p w:rsidR="00087C98" w:rsidRPr="008511D7" w:rsidRDefault="00087C98" w:rsidP="00420D02">
      <w:pPr>
        <w:numPr>
          <w:ilvl w:val="0"/>
          <w:numId w:val="58"/>
        </w:numPr>
        <w:spacing w:after="0" w:line="276" w:lineRule="auto"/>
        <w:rPr>
          <w:sz w:val="20"/>
          <w:szCs w:val="20"/>
          <w:highlight w:val="yellow"/>
        </w:rPr>
        <w:sectPr w:rsidR="00087C98" w:rsidRPr="008511D7" w:rsidSect="00087C98">
          <w:headerReference w:type="default" r:id="rId27"/>
          <w:footerReference w:type="default" r:id="rId28"/>
          <w:pgSz w:w="16840" w:h="11907" w:orient="landscape" w:code="9"/>
          <w:pgMar w:top="750" w:right="1252" w:bottom="1134" w:left="1134" w:header="567" w:footer="454" w:gutter="0"/>
          <w:cols w:num="2" w:space="708"/>
          <w:docGrid w:linePitch="360"/>
        </w:sectPr>
      </w:pPr>
    </w:p>
    <w:p w:rsidR="00EC012C" w:rsidRDefault="00EC012C">
      <w:pPr>
        <w:spacing w:after="0" w:line="240" w:lineRule="auto"/>
        <w:rPr>
          <w:strike/>
          <w:highlight w:val="yellow"/>
        </w:rPr>
        <w:sectPr w:rsidR="00EC012C" w:rsidSect="00087C98">
          <w:type w:val="continuous"/>
          <w:pgSz w:w="16840" w:h="11907" w:orient="landscape" w:code="9"/>
          <w:pgMar w:top="750" w:right="1252" w:bottom="1134" w:left="1134" w:header="567" w:footer="454" w:gutter="0"/>
          <w:cols w:space="708"/>
          <w:docGrid w:linePitch="360"/>
        </w:sectPr>
      </w:pPr>
    </w:p>
    <w:p w:rsidR="00087C98" w:rsidRDefault="00EC012C">
      <w:pPr>
        <w:spacing w:after="0" w:line="240" w:lineRule="auto"/>
        <w:rPr>
          <w:strike/>
          <w:highlight w:val="yellow"/>
        </w:rPr>
      </w:pPr>
      <w:r w:rsidRPr="00EC012C">
        <w:rPr>
          <w:noProof/>
        </w:rPr>
        <w:drawing>
          <wp:anchor distT="0" distB="0" distL="114300" distR="114300" simplePos="0" relativeHeight="251660288" behindDoc="0" locked="0" layoutInCell="1" allowOverlap="1" wp14:anchorId="0D04C342" wp14:editId="05CD5130">
            <wp:simplePos x="723900" y="695325"/>
            <wp:positionH relativeFrom="margin">
              <wp:align>center</wp:align>
            </wp:positionH>
            <wp:positionV relativeFrom="margin">
              <wp:align>top</wp:align>
            </wp:positionV>
            <wp:extent cx="8591550" cy="626745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91550" cy="6267450"/>
                    </a:xfrm>
                    <a:prstGeom prst="rect">
                      <a:avLst/>
                    </a:prstGeom>
                    <a:noFill/>
                    <a:ln>
                      <a:noFill/>
                    </a:ln>
                  </pic:spPr>
                </pic:pic>
              </a:graphicData>
            </a:graphic>
          </wp:anchor>
        </w:drawing>
      </w:r>
    </w:p>
    <w:p w:rsidR="00845A45" w:rsidRPr="002B1779" w:rsidRDefault="00EC012C">
      <w:pPr>
        <w:pStyle w:val="NumbList"/>
        <w:spacing w:after="120" w:line="240" w:lineRule="auto"/>
        <w:ind w:left="360"/>
        <w:rPr>
          <w:strike/>
          <w:highlight w:val="yellow"/>
        </w:rPr>
      </w:pPr>
      <w:r w:rsidRPr="00EC012C">
        <w:rPr>
          <w:noProof/>
        </w:rPr>
        <w:drawing>
          <wp:anchor distT="0" distB="0" distL="114300" distR="114300" simplePos="0" relativeHeight="251659264" behindDoc="0" locked="0" layoutInCell="1" allowOverlap="1" wp14:anchorId="38AAFE0D" wp14:editId="30B0562F">
            <wp:simplePos x="952500" y="695325"/>
            <wp:positionH relativeFrom="margin">
              <wp:align>center</wp:align>
            </wp:positionH>
            <wp:positionV relativeFrom="margin">
              <wp:align>top</wp:align>
            </wp:positionV>
            <wp:extent cx="8591550" cy="6267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591550" cy="6267450"/>
                    </a:xfrm>
                    <a:prstGeom prst="rect">
                      <a:avLst/>
                    </a:prstGeom>
                    <a:noFill/>
                    <a:ln>
                      <a:noFill/>
                    </a:ln>
                  </pic:spPr>
                </pic:pic>
              </a:graphicData>
            </a:graphic>
          </wp:anchor>
        </w:drawing>
      </w:r>
    </w:p>
    <w:sectPr w:rsidR="00845A45" w:rsidRPr="002B1779" w:rsidSect="008511D7">
      <w:pgSz w:w="16840" w:h="11907" w:orient="landscape" w:code="9"/>
      <w:pgMar w:top="750" w:right="1252" w:bottom="1134" w:left="1134"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88C" w:rsidRDefault="00A3288C" w:rsidP="00113F87">
      <w:pPr>
        <w:pStyle w:val="Heading"/>
      </w:pPr>
      <w:r>
        <w:separator/>
      </w:r>
    </w:p>
  </w:endnote>
  <w:endnote w:type="continuationSeparator" w:id="0">
    <w:p w:rsidR="00A3288C" w:rsidRDefault="00A3288C" w:rsidP="00113F87">
      <w:pPr>
        <w:pStyle w:val="Head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Sans">
    <w:panose1 w:val="02000503000000020003"/>
    <w:charset w:val="00"/>
    <w:family w:val="auto"/>
    <w:pitch w:val="variable"/>
    <w:sig w:usb0="800000A7" w:usb1="00000040" w:usb2="00000000" w:usb3="00000000" w:csb0="00000001" w:csb1="00000000"/>
    <w:embedRegular r:id="rId1" w:fontKey="{A32114D4-533D-4202-9E88-4789D763F24F}"/>
    <w:embedBold r:id="rId2" w:fontKey="{D394945E-31F1-4DA2-908E-BFF5AB54DD84}"/>
    <w:embedItalic r:id="rId3" w:fontKey="{5A2D5E56-930C-43B8-AFA4-83F818DD0357}"/>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oundrySansDemi">
    <w:altName w:val="Calibri"/>
    <w:panose1 w:val="00000400000000000000"/>
    <w:charset w:val="00"/>
    <w:family w:val="auto"/>
    <w:pitch w:val="variable"/>
    <w:sig w:usb0="800000A7" w:usb1="00000000" w:usb2="00000000" w:usb3="00000000" w:csb0="00000009" w:csb1="00000000"/>
    <w:embedRegular r:id="rId4" w:fontKey="{37881EA8-5A97-4864-85C0-F1E376F74039}"/>
    <w:embedBold r:id="rId5" w:fontKey="{2945F7C9-743B-431B-9DA9-70D93803C605}"/>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89" w:rsidRPr="003A58BF" w:rsidRDefault="006D3A89" w:rsidP="00087C98">
    <w:pPr>
      <w:pStyle w:val="Footer"/>
    </w:pPr>
    <w:r>
      <w:tab/>
    </w:r>
    <w:r>
      <w:fldChar w:fldCharType="begin"/>
    </w:r>
    <w:r>
      <w:instrText xml:space="preserve"> PAGE   \* MERGEFORMAT </w:instrText>
    </w:r>
    <w:r>
      <w:fldChar w:fldCharType="separate"/>
    </w:r>
    <w:r w:rsidR="00A5234D">
      <w:rPr>
        <w:noProof/>
      </w:rPr>
      <w:t>31</w:t>
    </w:r>
    <w:r>
      <w:fldChar w:fldCharType="end"/>
    </w:r>
    <w:r>
      <w:t xml:space="preserve"> of </w:t>
    </w:r>
    <w:r w:rsidR="00A3288C">
      <w:fldChar w:fldCharType="begin"/>
    </w:r>
    <w:r w:rsidR="00A3288C">
      <w:instrText xml:space="preserve"> NUMPAGES   \* MERGEFORMAT </w:instrText>
    </w:r>
    <w:r w:rsidR="00A3288C">
      <w:fldChar w:fldCharType="separate"/>
    </w:r>
    <w:r w:rsidR="00A5234D">
      <w:rPr>
        <w:noProof/>
      </w:rPr>
      <w:t>34</w:t>
    </w:r>
    <w:r w:rsidR="00A3288C">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89" w:rsidRPr="003A58BF" w:rsidRDefault="006D3A89" w:rsidP="00E01183">
    <w:pPr>
      <w:pStyle w:val="Footer"/>
    </w:pPr>
    <w:r>
      <w:tab/>
    </w:r>
    <w:r>
      <w:fldChar w:fldCharType="begin"/>
    </w:r>
    <w:r>
      <w:instrText xml:space="preserve"> PAGE   \* MERGEFORMAT </w:instrText>
    </w:r>
    <w:r>
      <w:fldChar w:fldCharType="separate"/>
    </w:r>
    <w:r w:rsidR="00A5234D">
      <w:rPr>
        <w:noProof/>
      </w:rPr>
      <w:t>1</w:t>
    </w:r>
    <w:r>
      <w:fldChar w:fldCharType="end"/>
    </w:r>
    <w:r>
      <w:t xml:space="preserve"> of </w:t>
    </w:r>
    <w:r w:rsidR="00A3288C">
      <w:fldChar w:fldCharType="begin"/>
    </w:r>
    <w:r w:rsidR="00A3288C">
      <w:instrText xml:space="preserve"> NUMPAGES   \* MERGEFORMAT </w:instrText>
    </w:r>
    <w:r w:rsidR="00A3288C">
      <w:fldChar w:fldCharType="separate"/>
    </w:r>
    <w:r w:rsidR="00A5234D">
      <w:rPr>
        <w:noProof/>
      </w:rPr>
      <w:t>34</w:t>
    </w:r>
    <w:r w:rsidR="00A3288C">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89" w:rsidRPr="003A58BF" w:rsidRDefault="006D3A89" w:rsidP="008511D7">
    <w:pPr>
      <w:pStyle w:val="Footer"/>
      <w:tabs>
        <w:tab w:val="clear" w:pos="9639"/>
        <w:tab w:val="right" w:pos="14175"/>
      </w:tabs>
    </w:pPr>
    <w:r>
      <w:tab/>
    </w:r>
    <w:r>
      <w:fldChar w:fldCharType="begin"/>
    </w:r>
    <w:r>
      <w:instrText xml:space="preserve"> PAGE   \* MERGEFORMAT </w:instrText>
    </w:r>
    <w:r>
      <w:fldChar w:fldCharType="separate"/>
    </w:r>
    <w:r w:rsidR="00A5234D">
      <w:rPr>
        <w:noProof/>
      </w:rPr>
      <w:t>34</w:t>
    </w:r>
    <w:r>
      <w:fldChar w:fldCharType="end"/>
    </w:r>
    <w:r>
      <w:t xml:space="preserve"> of </w:t>
    </w:r>
    <w:r w:rsidR="00A3288C">
      <w:fldChar w:fldCharType="begin"/>
    </w:r>
    <w:r w:rsidR="00A3288C">
      <w:instrText xml:space="preserve"> NUMPAGES   \* MERGEFORMAT </w:instrText>
    </w:r>
    <w:r w:rsidR="00A3288C">
      <w:fldChar w:fldCharType="separate"/>
    </w:r>
    <w:r w:rsidR="00A5234D">
      <w:rPr>
        <w:noProof/>
      </w:rPr>
      <w:t>34</w:t>
    </w:r>
    <w:r w:rsidR="00A3288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88C" w:rsidRDefault="00A3288C" w:rsidP="00113F87">
      <w:pPr>
        <w:pStyle w:val="Heading"/>
      </w:pPr>
      <w:r>
        <w:separator/>
      </w:r>
    </w:p>
  </w:footnote>
  <w:footnote w:type="continuationSeparator" w:id="0">
    <w:p w:rsidR="00A3288C" w:rsidRDefault="00A3288C" w:rsidP="00113F87">
      <w:pPr>
        <w:pStyle w:val="Heading"/>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89" w:rsidRPr="003851B2" w:rsidRDefault="006D3A89" w:rsidP="003F4193">
    <w:pPr>
      <w:pStyle w:val="Header"/>
      <w:tabs>
        <w:tab w:val="clear" w:pos="8640"/>
        <w:tab w:val="left" w:pos="1815"/>
        <w:tab w:val="left" w:pos="6804"/>
        <w:tab w:val="right" w:pos="9498"/>
      </w:tabs>
      <w:spacing w:after="1240"/>
      <w:jc w:val="both"/>
      <w:rPr>
        <w:b/>
        <w:sz w:val="36"/>
        <w:szCs w:val="36"/>
      </w:rPr>
    </w:pPr>
    <w:r>
      <w:rPr>
        <w:noProof/>
      </w:rPr>
      <w:drawing>
        <wp:anchor distT="0" distB="0" distL="114300" distR="114300" simplePos="0" relativeHeight="251658240" behindDoc="1" locked="0" layoutInCell="1" allowOverlap="1" wp14:anchorId="082A636B" wp14:editId="5D34B85E">
          <wp:simplePos x="0" y="0"/>
          <wp:positionH relativeFrom="column">
            <wp:posOffset>17780</wp:posOffset>
          </wp:positionH>
          <wp:positionV relativeFrom="paragraph">
            <wp:posOffset>32385</wp:posOffset>
          </wp:positionV>
          <wp:extent cx="1443600" cy="612000"/>
          <wp:effectExtent l="0" t="0" r="4445" b="0"/>
          <wp:wrapNone/>
          <wp:docPr id="13" name="Picture 13" descr="LFB_logo_Black_blo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FB_logo_Black_blo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600" cy="61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rsidRPr="003851B2">
      <w:rPr>
        <w:b/>
        <w:sz w:val="36"/>
        <w:szCs w:val="36"/>
      </w:rPr>
      <w:t xml:space="preserve">Agenda item: </w:t>
    </w:r>
    <w:bookmarkStart w:id="2" w:name="AgendaItem"/>
    <w:r>
      <w:rPr>
        <w:b/>
        <w:sz w:val="36"/>
        <w:szCs w:val="36"/>
      </w:rPr>
      <w:t>00</w:t>
    </w:r>
    <w:bookmarkEnd w:id="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89" w:rsidRDefault="006D3A89">
    <w:pPr>
      <w:pStyle w:val="Header"/>
    </w:pPr>
    <w:r w:rsidRPr="00E2161B">
      <w:rPr>
        <w:b/>
      </w:rPr>
      <w:t xml:space="preserve">Appendix </w:t>
    </w:r>
    <w:r>
      <w:rPr>
        <w:b/>
      </w:rPr>
      <w:t>1</w:t>
    </w:r>
    <w:r w:rsidRPr="00E2161B">
      <w:rPr>
        <w:b/>
      </w:rPr>
      <w:t xml:space="preserve">: </w:t>
    </w:r>
    <w:r w:rsidRPr="00F50E71">
      <w:rPr>
        <w:b/>
      </w:rPr>
      <w:t>Summary Financial Position</w:t>
    </w:r>
    <w:r>
      <w:rPr>
        <w:rFonts w:ascii="FoundrySansDemi" w:hAnsi="FoundrySansDem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89" w:rsidRPr="003851B2" w:rsidRDefault="006D3A89" w:rsidP="003F4193">
    <w:pPr>
      <w:pStyle w:val="Header"/>
      <w:tabs>
        <w:tab w:val="clear" w:pos="8640"/>
        <w:tab w:val="left" w:pos="1815"/>
        <w:tab w:val="left" w:pos="6804"/>
        <w:tab w:val="right" w:pos="9498"/>
      </w:tabs>
      <w:spacing w:after="1240"/>
      <w:jc w:val="both"/>
      <w:rPr>
        <w:b/>
        <w:sz w:val="36"/>
        <w:szCs w:val="36"/>
      </w:rPr>
    </w:pPr>
    <w:r>
      <w:rPr>
        <w:noProof/>
      </w:rPr>
      <w:drawing>
        <wp:anchor distT="0" distB="0" distL="114300" distR="114300" simplePos="0" relativeHeight="251660288" behindDoc="1" locked="0" layoutInCell="1" allowOverlap="1" wp14:anchorId="4A91C657" wp14:editId="5572C96D">
          <wp:simplePos x="0" y="0"/>
          <wp:positionH relativeFrom="column">
            <wp:posOffset>17780</wp:posOffset>
          </wp:positionH>
          <wp:positionV relativeFrom="paragraph">
            <wp:posOffset>32385</wp:posOffset>
          </wp:positionV>
          <wp:extent cx="1443600" cy="612000"/>
          <wp:effectExtent l="0" t="0" r="4445" b="0"/>
          <wp:wrapNone/>
          <wp:docPr id="3" name="Picture 3" descr="LFB_logo_Black_blo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FB_logo_Black_blo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600" cy="61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rsidRPr="003851B2">
      <w:rPr>
        <w:b/>
        <w:sz w:val="36"/>
        <w:szCs w:val="36"/>
      </w:rPr>
      <w:t xml:space="preserve">Agenda item: </w:t>
    </w:r>
    <w:r>
      <w:rPr>
        <w:b/>
        <w:sz w:val="36"/>
        <w:szCs w:val="36"/>
      </w:rPr>
      <w:t>00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89" w:rsidRDefault="006D3A89">
    <w:pPr>
      <w:pStyle w:val="Header"/>
    </w:pPr>
    <w:r w:rsidRPr="00E2161B">
      <w:rPr>
        <w:b/>
      </w:rPr>
      <w:t xml:space="preserve">Appendix </w:t>
    </w:r>
    <w:r>
      <w:rPr>
        <w:b/>
      </w:rPr>
      <w:t>2</w:t>
    </w:r>
    <w:r w:rsidRPr="00E2161B">
      <w:rPr>
        <w:b/>
      </w:rPr>
      <w:t xml:space="preserve">: Detailed </w:t>
    </w:r>
    <w:r>
      <w:rPr>
        <w:b/>
      </w:rPr>
      <w:t>Financial Position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89" w:rsidRPr="008F25D4" w:rsidRDefault="006D3A89">
    <w:pPr>
      <w:pStyle w:val="Header"/>
      <w:rPr>
        <w:b/>
      </w:rPr>
    </w:pPr>
    <w:r w:rsidRPr="00EA696B">
      <w:rPr>
        <w:b/>
      </w:rPr>
      <w:t xml:space="preserve">Appendix </w:t>
    </w:r>
    <w:r>
      <w:rPr>
        <w:b/>
      </w:rPr>
      <w:t>3: Capital Programme</w:t>
    </w:r>
    <w:r>
      <w:rPr>
        <w:rFonts w:ascii="FoundrySansDemi" w:hAnsi="FoundrySansDemi"/>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89" w:rsidRPr="00F72076" w:rsidRDefault="006D3A89" w:rsidP="00F72076">
    <w:pPr>
      <w:pStyle w:val="Header"/>
      <w:rPr>
        <w:b/>
      </w:rPr>
    </w:pPr>
    <w:r w:rsidRPr="008F25D4">
      <w:rPr>
        <w:b/>
      </w:rPr>
      <w:t xml:space="preserve">Appendix </w:t>
    </w:r>
    <w:r>
      <w:rPr>
        <w:b/>
      </w:rPr>
      <w:t>4</w:t>
    </w:r>
    <w:r w:rsidRPr="008F25D4">
      <w:rPr>
        <w:b/>
      </w:rPr>
      <w:t xml:space="preserve">: Risks to the </w:t>
    </w:r>
    <w:r>
      <w:rPr>
        <w:b/>
      </w:rPr>
      <w:t xml:space="preserve">Revenue and </w:t>
    </w:r>
    <w:r w:rsidRPr="008F25D4">
      <w:rPr>
        <w:b/>
      </w:rPr>
      <w:t>Capital Financial Position</w:t>
    </w:r>
    <w:r>
      <w:rPr>
        <w:rFonts w:ascii="FoundrySansDemi" w:hAnsi="FoundrySansDemi"/>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89" w:rsidRPr="00F72076" w:rsidRDefault="006D3A89" w:rsidP="00F72076">
    <w:pPr>
      <w:pStyle w:val="Header"/>
      <w:rPr>
        <w:b/>
      </w:rPr>
    </w:pPr>
    <w:r w:rsidRPr="008F25D4">
      <w:rPr>
        <w:b/>
      </w:rPr>
      <w:t xml:space="preserve">Appendix </w:t>
    </w:r>
    <w:r>
      <w:rPr>
        <w:b/>
      </w:rPr>
      <w:t>5: Analysis of Shut in Lift Debtors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89" w:rsidRPr="00F72076" w:rsidRDefault="006D3A89" w:rsidP="008511D7">
    <w:pPr>
      <w:pStyle w:val="Header"/>
      <w:spacing w:after="240"/>
      <w:rPr>
        <w:b/>
      </w:rPr>
    </w:pPr>
    <w:r w:rsidRPr="008F25D4">
      <w:rPr>
        <w:b/>
      </w:rPr>
      <w:t xml:space="preserve">Appendix </w:t>
    </w:r>
    <w:r>
      <w:rPr>
        <w:b/>
      </w:rPr>
      <w:t>6: Scheme of Governance - Budget Virements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89" w:rsidRPr="00F72076" w:rsidRDefault="006D3A89" w:rsidP="008511D7">
    <w:pPr>
      <w:pStyle w:val="Header"/>
      <w:spacing w:after="240"/>
      <w:rPr>
        <w:b/>
      </w:rPr>
    </w:pPr>
    <w:r w:rsidRPr="008F25D4">
      <w:rPr>
        <w:b/>
      </w:rPr>
      <w:t xml:space="preserve">Appendix </w:t>
    </w:r>
    <w:r>
      <w:rPr>
        <w:b/>
      </w:rPr>
      <w:t xml:space="preserve">7: </w:t>
    </w:r>
    <w:r w:rsidRPr="00087C98">
      <w:rPr>
        <w:b/>
      </w:rPr>
      <w:t>Financial Element on Performance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4C1"/>
    <w:multiLevelType w:val="hybridMultilevel"/>
    <w:tmpl w:val="51F81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081219"/>
    <w:multiLevelType w:val="hybridMultilevel"/>
    <w:tmpl w:val="1DD0FF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0A65890"/>
    <w:multiLevelType w:val="hybridMultilevel"/>
    <w:tmpl w:val="8A52CC9E"/>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nsid w:val="10B47ABA"/>
    <w:multiLevelType w:val="hybridMultilevel"/>
    <w:tmpl w:val="61EC2D92"/>
    <w:lvl w:ilvl="0" w:tplc="8456448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103A71"/>
    <w:multiLevelType w:val="hybridMultilevel"/>
    <w:tmpl w:val="7368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117B1B"/>
    <w:multiLevelType w:val="hybridMultilevel"/>
    <w:tmpl w:val="24588616"/>
    <w:lvl w:ilvl="0" w:tplc="9C2E0810">
      <w:start w:val="1"/>
      <w:numFmt w:val="decimal"/>
      <w:lvlText w:val="%1."/>
      <w:lvlJc w:val="left"/>
      <w:pPr>
        <w:ind w:left="502" w:hanging="360"/>
      </w:pPr>
      <w:rPr>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8D0EF1"/>
    <w:multiLevelType w:val="hybridMultilevel"/>
    <w:tmpl w:val="B170B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C46BDE"/>
    <w:multiLevelType w:val="hybridMultilevel"/>
    <w:tmpl w:val="8DC2EF90"/>
    <w:lvl w:ilvl="0" w:tplc="0809000F">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5F25CA"/>
    <w:multiLevelType w:val="multilevel"/>
    <w:tmpl w:val="0809001F"/>
    <w:lvl w:ilvl="0">
      <w:start w:val="1"/>
      <w:numFmt w:val="decimal"/>
      <w:lvlText w:val="%1."/>
      <w:lvlJc w:val="left"/>
      <w:pPr>
        <w:ind w:left="360" w:hanging="360"/>
      </w:pPr>
    </w:lvl>
    <w:lvl w:ilvl="1">
      <w:start w:val="1"/>
      <w:numFmt w:val="decimal"/>
      <w:lvlText w:val="%1.%2."/>
      <w:lvlJc w:val="left"/>
      <w:pPr>
        <w:ind w:left="44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72406CD"/>
    <w:multiLevelType w:val="hybridMultilevel"/>
    <w:tmpl w:val="6E62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29432B"/>
    <w:multiLevelType w:val="hybridMultilevel"/>
    <w:tmpl w:val="F898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753DF7"/>
    <w:multiLevelType w:val="hybridMultilevel"/>
    <w:tmpl w:val="8E586B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FF81295"/>
    <w:multiLevelType w:val="hybridMultilevel"/>
    <w:tmpl w:val="340298CE"/>
    <w:lvl w:ilvl="0" w:tplc="0809000B">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3">
    <w:nsid w:val="20C026F0"/>
    <w:multiLevelType w:val="hybridMultilevel"/>
    <w:tmpl w:val="24588616"/>
    <w:lvl w:ilvl="0" w:tplc="9C2E0810">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5DB05A2"/>
    <w:multiLevelType w:val="hybridMultilevel"/>
    <w:tmpl w:val="E63E5404"/>
    <w:lvl w:ilvl="0" w:tplc="76CAB21E">
      <w:start w:val="1"/>
      <w:numFmt w:val="bullet"/>
      <w:pStyle w:val="Bullet2"/>
      <w:lvlText w:val=""/>
      <w:lvlJc w:val="left"/>
      <w:pPr>
        <w:tabs>
          <w:tab w:val="num" w:pos="907"/>
        </w:tabs>
        <w:ind w:left="907"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7506640"/>
    <w:multiLevelType w:val="hybridMultilevel"/>
    <w:tmpl w:val="24588616"/>
    <w:lvl w:ilvl="0" w:tplc="9C2E0810">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1484265"/>
    <w:multiLevelType w:val="hybridMultilevel"/>
    <w:tmpl w:val="A918A0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nsid w:val="328B44C7"/>
    <w:multiLevelType w:val="hybridMultilevel"/>
    <w:tmpl w:val="16424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3E353DF"/>
    <w:multiLevelType w:val="hybridMultilevel"/>
    <w:tmpl w:val="D88061F4"/>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87680C"/>
    <w:multiLevelType w:val="hybridMultilevel"/>
    <w:tmpl w:val="E6609096"/>
    <w:lvl w:ilvl="0" w:tplc="292CC09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86D61AD"/>
    <w:multiLevelType w:val="hybridMultilevel"/>
    <w:tmpl w:val="DDDA6E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CA30B77"/>
    <w:multiLevelType w:val="hybridMultilevel"/>
    <w:tmpl w:val="25E8A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EEC3602"/>
    <w:multiLevelType w:val="hybridMultilevel"/>
    <w:tmpl w:val="16424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75A10BA"/>
    <w:multiLevelType w:val="multilevel"/>
    <w:tmpl w:val="6FAA407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AC609C"/>
    <w:multiLevelType w:val="hybridMultilevel"/>
    <w:tmpl w:val="FA12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1109F7"/>
    <w:multiLevelType w:val="hybridMultilevel"/>
    <w:tmpl w:val="520860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A89114F"/>
    <w:multiLevelType w:val="hybridMultilevel"/>
    <w:tmpl w:val="24588616"/>
    <w:lvl w:ilvl="0" w:tplc="9C2E0810">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D624427"/>
    <w:multiLevelType w:val="hybridMultilevel"/>
    <w:tmpl w:val="04B04AB2"/>
    <w:lvl w:ilvl="0" w:tplc="6A9E9FE8">
      <w:start w:val="1"/>
      <w:numFmt w:val="bullet"/>
      <w:pStyle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5217C2"/>
    <w:multiLevelType w:val="hybridMultilevel"/>
    <w:tmpl w:val="53AE9298"/>
    <w:lvl w:ilvl="0" w:tplc="D4823FD8">
      <w:start w:val="1"/>
      <w:numFmt w:val="decimal"/>
      <w:lvlText w:val="%1."/>
      <w:lvlJc w:val="left"/>
      <w:pPr>
        <w:tabs>
          <w:tab w:val="num" w:pos="700"/>
        </w:tabs>
        <w:ind w:left="70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BA20266"/>
    <w:multiLevelType w:val="hybridMultilevel"/>
    <w:tmpl w:val="A7F6F654"/>
    <w:lvl w:ilvl="0" w:tplc="694E73BE">
      <w:start w:val="8"/>
      <w:numFmt w:val="bullet"/>
      <w:lvlText w:val="-"/>
      <w:lvlJc w:val="left"/>
      <w:pPr>
        <w:ind w:left="720" w:hanging="360"/>
      </w:pPr>
      <w:rPr>
        <w:rFonts w:ascii="Foundry Sans" w:eastAsia="Times New Roman" w:hAnsi="Foundry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670B0F"/>
    <w:multiLevelType w:val="hybridMultilevel"/>
    <w:tmpl w:val="CE9CB148"/>
    <w:lvl w:ilvl="0" w:tplc="694E73BE">
      <w:start w:val="8"/>
      <w:numFmt w:val="bullet"/>
      <w:lvlText w:val="-"/>
      <w:lvlJc w:val="left"/>
      <w:pPr>
        <w:ind w:left="720" w:hanging="360"/>
      </w:pPr>
      <w:rPr>
        <w:rFonts w:ascii="Foundry Sans" w:eastAsia="Times New Roman" w:hAnsi="Foundry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27"/>
  </w:num>
  <w:num w:numId="4">
    <w:abstractNumId w:val="22"/>
  </w:num>
  <w:num w:numId="5">
    <w:abstractNumId w:val="13"/>
  </w:num>
  <w:num w:numId="6">
    <w:abstractNumId w:val="16"/>
  </w:num>
  <w:num w:numId="7">
    <w:abstractNumId w:val="23"/>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num>
  <w:num w:numId="12">
    <w:abstractNumId w:val="7"/>
  </w:num>
  <w:num w:numId="13">
    <w:abstractNumId w:val="7"/>
  </w:num>
  <w:num w:numId="14">
    <w:abstractNumId w:val="21"/>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3"/>
  </w:num>
  <w:num w:numId="48">
    <w:abstractNumId w:val="17"/>
  </w:num>
  <w:num w:numId="49">
    <w:abstractNumId w:val="8"/>
  </w:num>
  <w:num w:numId="50">
    <w:abstractNumId w:val="28"/>
  </w:num>
  <w:num w:numId="51">
    <w:abstractNumId w:val="24"/>
  </w:num>
  <w:num w:numId="52">
    <w:abstractNumId w:val="4"/>
  </w:num>
  <w:num w:numId="53">
    <w:abstractNumId w:val="29"/>
  </w:num>
  <w:num w:numId="54">
    <w:abstractNumId w:val="30"/>
  </w:num>
  <w:num w:numId="55">
    <w:abstractNumId w:val="9"/>
  </w:num>
  <w:num w:numId="56">
    <w:abstractNumId w:val="6"/>
  </w:num>
  <w:num w:numId="57">
    <w:abstractNumId w:val="2"/>
  </w:num>
  <w:num w:numId="58">
    <w:abstractNumId w:val="0"/>
  </w:num>
  <w:num w:numId="59">
    <w:abstractNumId w:val="25"/>
  </w:num>
  <w:num w:numId="60">
    <w:abstractNumId w:val="1"/>
  </w:num>
  <w:num w:numId="61">
    <w:abstractNumId w:val="19"/>
  </w:num>
  <w:num w:numId="62">
    <w:abstractNumId w:val="18"/>
  </w:num>
  <w:num w:numId="63">
    <w:abstractNumId w:val="14"/>
  </w:num>
  <w:num w:numId="64">
    <w:abstractNumId w:val="11"/>
  </w:num>
  <w:num w:numId="65">
    <w:abstractNumId w:val="12"/>
  </w:num>
  <w:num w:numId="66">
    <w:abstractNumId w:val="26"/>
  </w:num>
  <w:num w:numId="67">
    <w:abstractNumId w:val="15"/>
  </w:num>
  <w:num w:numId="68">
    <w:abstractNumId w:val="27"/>
  </w:num>
  <w:num w:numId="69">
    <w:abstractNumId w:val="10"/>
  </w:num>
  <w:num w:numId="70">
    <w:abstractNumId w:val="7"/>
    <w:lvlOverride w:ilvl="0">
      <w:startOverride w:val="1"/>
    </w:lvlOverride>
  </w:num>
  <w:num w:numId="71">
    <w:abstractNumId w:val="20"/>
  </w:num>
  <w:num w:numId="72">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LetterTemplateVersion" w:val="1.0"/>
    <w:docVar w:name="DocDate" w:val="Date"/>
    <w:docVar w:name="InitialLetterTemplateVersion" w:val="1.0"/>
  </w:docVars>
  <w:rsids>
    <w:rsidRoot w:val="008F25D4"/>
    <w:rsid w:val="000021B4"/>
    <w:rsid w:val="000047CD"/>
    <w:rsid w:val="00006190"/>
    <w:rsid w:val="000109DC"/>
    <w:rsid w:val="0001152E"/>
    <w:rsid w:val="00013883"/>
    <w:rsid w:val="00014497"/>
    <w:rsid w:val="00014BB8"/>
    <w:rsid w:val="0001576D"/>
    <w:rsid w:val="00024D3B"/>
    <w:rsid w:val="000252F9"/>
    <w:rsid w:val="00025C57"/>
    <w:rsid w:val="00025C92"/>
    <w:rsid w:val="00027075"/>
    <w:rsid w:val="0003101E"/>
    <w:rsid w:val="00031E7F"/>
    <w:rsid w:val="00033B00"/>
    <w:rsid w:val="000374B5"/>
    <w:rsid w:val="00037DF7"/>
    <w:rsid w:val="00040BF2"/>
    <w:rsid w:val="00041B01"/>
    <w:rsid w:val="000420FA"/>
    <w:rsid w:val="00045A3C"/>
    <w:rsid w:val="00046827"/>
    <w:rsid w:val="00046DC6"/>
    <w:rsid w:val="000540EF"/>
    <w:rsid w:val="00054149"/>
    <w:rsid w:val="00056692"/>
    <w:rsid w:val="00057EA1"/>
    <w:rsid w:val="00057ECE"/>
    <w:rsid w:val="00060CFB"/>
    <w:rsid w:val="00060D1E"/>
    <w:rsid w:val="0006235D"/>
    <w:rsid w:val="000632F7"/>
    <w:rsid w:val="000648C2"/>
    <w:rsid w:val="00065085"/>
    <w:rsid w:val="00066971"/>
    <w:rsid w:val="0006702E"/>
    <w:rsid w:val="00070EC9"/>
    <w:rsid w:val="00071438"/>
    <w:rsid w:val="00074114"/>
    <w:rsid w:val="00074E9D"/>
    <w:rsid w:val="00080664"/>
    <w:rsid w:val="000823BA"/>
    <w:rsid w:val="00083422"/>
    <w:rsid w:val="00083DAC"/>
    <w:rsid w:val="0008461E"/>
    <w:rsid w:val="00085199"/>
    <w:rsid w:val="0008741D"/>
    <w:rsid w:val="00087668"/>
    <w:rsid w:val="00087C98"/>
    <w:rsid w:val="00087D93"/>
    <w:rsid w:val="00096660"/>
    <w:rsid w:val="00096E6F"/>
    <w:rsid w:val="00097D45"/>
    <w:rsid w:val="000A1463"/>
    <w:rsid w:val="000A150B"/>
    <w:rsid w:val="000A286F"/>
    <w:rsid w:val="000A341E"/>
    <w:rsid w:val="000A3AAB"/>
    <w:rsid w:val="000A4F12"/>
    <w:rsid w:val="000A7F7F"/>
    <w:rsid w:val="000B411F"/>
    <w:rsid w:val="000C0FAA"/>
    <w:rsid w:val="000C32EA"/>
    <w:rsid w:val="000C3831"/>
    <w:rsid w:val="000C3ADD"/>
    <w:rsid w:val="000C3F05"/>
    <w:rsid w:val="000C4CA8"/>
    <w:rsid w:val="000C540B"/>
    <w:rsid w:val="000C692A"/>
    <w:rsid w:val="000C6962"/>
    <w:rsid w:val="000C6C8E"/>
    <w:rsid w:val="000D2556"/>
    <w:rsid w:val="000D4D03"/>
    <w:rsid w:val="000D53AF"/>
    <w:rsid w:val="000E2816"/>
    <w:rsid w:val="000E2E68"/>
    <w:rsid w:val="000E4705"/>
    <w:rsid w:val="000E69FC"/>
    <w:rsid w:val="000F2C74"/>
    <w:rsid w:val="000F35F7"/>
    <w:rsid w:val="000F647C"/>
    <w:rsid w:val="000F7F3E"/>
    <w:rsid w:val="0010031C"/>
    <w:rsid w:val="00104E36"/>
    <w:rsid w:val="00105DC5"/>
    <w:rsid w:val="0010714C"/>
    <w:rsid w:val="00111040"/>
    <w:rsid w:val="00113F87"/>
    <w:rsid w:val="00114123"/>
    <w:rsid w:val="00114559"/>
    <w:rsid w:val="001156F0"/>
    <w:rsid w:val="00116350"/>
    <w:rsid w:val="00117399"/>
    <w:rsid w:val="001211C7"/>
    <w:rsid w:val="00121BFD"/>
    <w:rsid w:val="00123C07"/>
    <w:rsid w:val="0012422C"/>
    <w:rsid w:val="00125FC0"/>
    <w:rsid w:val="0012663A"/>
    <w:rsid w:val="0012774B"/>
    <w:rsid w:val="0013057A"/>
    <w:rsid w:val="0013305D"/>
    <w:rsid w:val="0013307F"/>
    <w:rsid w:val="00134207"/>
    <w:rsid w:val="001349BC"/>
    <w:rsid w:val="00140B0A"/>
    <w:rsid w:val="001432DA"/>
    <w:rsid w:val="00146F2B"/>
    <w:rsid w:val="0015100D"/>
    <w:rsid w:val="00153B35"/>
    <w:rsid w:val="001540A2"/>
    <w:rsid w:val="001545DD"/>
    <w:rsid w:val="0015510E"/>
    <w:rsid w:val="0015766D"/>
    <w:rsid w:val="00165B1D"/>
    <w:rsid w:val="00166928"/>
    <w:rsid w:val="00170CC7"/>
    <w:rsid w:val="00172DFD"/>
    <w:rsid w:val="00173757"/>
    <w:rsid w:val="00173840"/>
    <w:rsid w:val="001748B8"/>
    <w:rsid w:val="0017737B"/>
    <w:rsid w:val="001817D5"/>
    <w:rsid w:val="00183B00"/>
    <w:rsid w:val="001846C8"/>
    <w:rsid w:val="00184F0C"/>
    <w:rsid w:val="001944B7"/>
    <w:rsid w:val="00194603"/>
    <w:rsid w:val="00194A8D"/>
    <w:rsid w:val="0019598A"/>
    <w:rsid w:val="0019738B"/>
    <w:rsid w:val="00197ED6"/>
    <w:rsid w:val="001A0240"/>
    <w:rsid w:val="001A0352"/>
    <w:rsid w:val="001A2822"/>
    <w:rsid w:val="001A4307"/>
    <w:rsid w:val="001A7FEF"/>
    <w:rsid w:val="001B2455"/>
    <w:rsid w:val="001B3822"/>
    <w:rsid w:val="001B72EC"/>
    <w:rsid w:val="001C2308"/>
    <w:rsid w:val="001C367B"/>
    <w:rsid w:val="001C386C"/>
    <w:rsid w:val="001C541D"/>
    <w:rsid w:val="001C61E2"/>
    <w:rsid w:val="001C69B7"/>
    <w:rsid w:val="001C6EBB"/>
    <w:rsid w:val="001D15CD"/>
    <w:rsid w:val="001D1946"/>
    <w:rsid w:val="001D61A8"/>
    <w:rsid w:val="001D65D0"/>
    <w:rsid w:val="001E0D7D"/>
    <w:rsid w:val="001E2205"/>
    <w:rsid w:val="001E5ECB"/>
    <w:rsid w:val="001F0A24"/>
    <w:rsid w:val="001F4772"/>
    <w:rsid w:val="001F47F6"/>
    <w:rsid w:val="001F609E"/>
    <w:rsid w:val="001F6890"/>
    <w:rsid w:val="001F7F2B"/>
    <w:rsid w:val="0020142E"/>
    <w:rsid w:val="00202C50"/>
    <w:rsid w:val="00202F46"/>
    <w:rsid w:val="002030B4"/>
    <w:rsid w:val="00206C16"/>
    <w:rsid w:val="002114E1"/>
    <w:rsid w:val="00212C71"/>
    <w:rsid w:val="00213E1B"/>
    <w:rsid w:val="002144BB"/>
    <w:rsid w:val="00215EF0"/>
    <w:rsid w:val="00216CDF"/>
    <w:rsid w:val="0022033A"/>
    <w:rsid w:val="00220F1C"/>
    <w:rsid w:val="002215A7"/>
    <w:rsid w:val="0022326F"/>
    <w:rsid w:val="002235F5"/>
    <w:rsid w:val="002257EC"/>
    <w:rsid w:val="00225DA8"/>
    <w:rsid w:val="00226713"/>
    <w:rsid w:val="002269C6"/>
    <w:rsid w:val="0023157D"/>
    <w:rsid w:val="00233433"/>
    <w:rsid w:val="0023502A"/>
    <w:rsid w:val="002357E4"/>
    <w:rsid w:val="00235F64"/>
    <w:rsid w:val="0023786F"/>
    <w:rsid w:val="00237C16"/>
    <w:rsid w:val="00240C30"/>
    <w:rsid w:val="002417C4"/>
    <w:rsid w:val="0024370D"/>
    <w:rsid w:val="002461CC"/>
    <w:rsid w:val="00246BD1"/>
    <w:rsid w:val="002473E0"/>
    <w:rsid w:val="00247DBC"/>
    <w:rsid w:val="00251C84"/>
    <w:rsid w:val="002536D5"/>
    <w:rsid w:val="002614DE"/>
    <w:rsid w:val="00261AC9"/>
    <w:rsid w:val="00262B5E"/>
    <w:rsid w:val="00274980"/>
    <w:rsid w:val="00277492"/>
    <w:rsid w:val="00281865"/>
    <w:rsid w:val="00282A6C"/>
    <w:rsid w:val="002845B7"/>
    <w:rsid w:val="00284DC3"/>
    <w:rsid w:val="00285D7D"/>
    <w:rsid w:val="0029004F"/>
    <w:rsid w:val="002906A2"/>
    <w:rsid w:val="0029087C"/>
    <w:rsid w:val="002926C1"/>
    <w:rsid w:val="00293D0B"/>
    <w:rsid w:val="00294243"/>
    <w:rsid w:val="0029791E"/>
    <w:rsid w:val="002A084A"/>
    <w:rsid w:val="002A2CEE"/>
    <w:rsid w:val="002A3097"/>
    <w:rsid w:val="002A3DEE"/>
    <w:rsid w:val="002A5630"/>
    <w:rsid w:val="002A57AE"/>
    <w:rsid w:val="002B1779"/>
    <w:rsid w:val="002B2BDA"/>
    <w:rsid w:val="002B4ED3"/>
    <w:rsid w:val="002B5E7F"/>
    <w:rsid w:val="002B7133"/>
    <w:rsid w:val="002B7183"/>
    <w:rsid w:val="002C314E"/>
    <w:rsid w:val="002C4414"/>
    <w:rsid w:val="002C4538"/>
    <w:rsid w:val="002D4E05"/>
    <w:rsid w:val="002D57C3"/>
    <w:rsid w:val="002D66A7"/>
    <w:rsid w:val="002E0FD8"/>
    <w:rsid w:val="002E1712"/>
    <w:rsid w:val="002E17A3"/>
    <w:rsid w:val="002E1E2D"/>
    <w:rsid w:val="002E30C0"/>
    <w:rsid w:val="002E40B0"/>
    <w:rsid w:val="002E565B"/>
    <w:rsid w:val="002E6594"/>
    <w:rsid w:val="002F23CC"/>
    <w:rsid w:val="002F5015"/>
    <w:rsid w:val="003008BC"/>
    <w:rsid w:val="00302A2B"/>
    <w:rsid w:val="00303520"/>
    <w:rsid w:val="003042C6"/>
    <w:rsid w:val="00304486"/>
    <w:rsid w:val="00306EDD"/>
    <w:rsid w:val="003070BE"/>
    <w:rsid w:val="00307465"/>
    <w:rsid w:val="00310237"/>
    <w:rsid w:val="00310AB6"/>
    <w:rsid w:val="0031297B"/>
    <w:rsid w:val="0031501A"/>
    <w:rsid w:val="00316047"/>
    <w:rsid w:val="00320466"/>
    <w:rsid w:val="00320B8F"/>
    <w:rsid w:val="00322C03"/>
    <w:rsid w:val="00323470"/>
    <w:rsid w:val="0032426B"/>
    <w:rsid w:val="00324849"/>
    <w:rsid w:val="003339D3"/>
    <w:rsid w:val="00333A3F"/>
    <w:rsid w:val="00337FA0"/>
    <w:rsid w:val="00342D4B"/>
    <w:rsid w:val="00343B29"/>
    <w:rsid w:val="003440B9"/>
    <w:rsid w:val="0034484F"/>
    <w:rsid w:val="003515C4"/>
    <w:rsid w:val="003529D6"/>
    <w:rsid w:val="00352C8A"/>
    <w:rsid w:val="00354A7D"/>
    <w:rsid w:val="00357612"/>
    <w:rsid w:val="0036370A"/>
    <w:rsid w:val="00363EE9"/>
    <w:rsid w:val="003644F2"/>
    <w:rsid w:val="00364755"/>
    <w:rsid w:val="0036532A"/>
    <w:rsid w:val="003661E7"/>
    <w:rsid w:val="00366465"/>
    <w:rsid w:val="00366BED"/>
    <w:rsid w:val="00370C66"/>
    <w:rsid w:val="00373EFE"/>
    <w:rsid w:val="00376BE4"/>
    <w:rsid w:val="003774D3"/>
    <w:rsid w:val="00377FA4"/>
    <w:rsid w:val="003817E2"/>
    <w:rsid w:val="0038230D"/>
    <w:rsid w:val="00382A66"/>
    <w:rsid w:val="003851B2"/>
    <w:rsid w:val="00385247"/>
    <w:rsid w:val="00385321"/>
    <w:rsid w:val="00386D90"/>
    <w:rsid w:val="00387E0E"/>
    <w:rsid w:val="00392748"/>
    <w:rsid w:val="00392913"/>
    <w:rsid w:val="00392AD7"/>
    <w:rsid w:val="00396440"/>
    <w:rsid w:val="00396B3D"/>
    <w:rsid w:val="003A2CBC"/>
    <w:rsid w:val="003A2CE5"/>
    <w:rsid w:val="003A41C6"/>
    <w:rsid w:val="003A5604"/>
    <w:rsid w:val="003A58BF"/>
    <w:rsid w:val="003A5D6A"/>
    <w:rsid w:val="003A6DCB"/>
    <w:rsid w:val="003B1037"/>
    <w:rsid w:val="003B109A"/>
    <w:rsid w:val="003B1D68"/>
    <w:rsid w:val="003B28DC"/>
    <w:rsid w:val="003B3C2D"/>
    <w:rsid w:val="003B5949"/>
    <w:rsid w:val="003C2373"/>
    <w:rsid w:val="003C4168"/>
    <w:rsid w:val="003C5993"/>
    <w:rsid w:val="003C5FFE"/>
    <w:rsid w:val="003C7461"/>
    <w:rsid w:val="003C761C"/>
    <w:rsid w:val="003C7A69"/>
    <w:rsid w:val="003D1138"/>
    <w:rsid w:val="003D36EC"/>
    <w:rsid w:val="003D3E92"/>
    <w:rsid w:val="003D6202"/>
    <w:rsid w:val="003D6318"/>
    <w:rsid w:val="003D65E5"/>
    <w:rsid w:val="003D6B74"/>
    <w:rsid w:val="003D712A"/>
    <w:rsid w:val="003D7436"/>
    <w:rsid w:val="003D769D"/>
    <w:rsid w:val="003D7C4B"/>
    <w:rsid w:val="003E40E4"/>
    <w:rsid w:val="003E413B"/>
    <w:rsid w:val="003E448E"/>
    <w:rsid w:val="003F0384"/>
    <w:rsid w:val="003F2020"/>
    <w:rsid w:val="003F2D88"/>
    <w:rsid w:val="003F3B0E"/>
    <w:rsid w:val="003F3CD0"/>
    <w:rsid w:val="003F4193"/>
    <w:rsid w:val="003F4BC1"/>
    <w:rsid w:val="003F7B50"/>
    <w:rsid w:val="004036DC"/>
    <w:rsid w:val="0041002C"/>
    <w:rsid w:val="004107F0"/>
    <w:rsid w:val="00411620"/>
    <w:rsid w:val="004137A5"/>
    <w:rsid w:val="00413DB9"/>
    <w:rsid w:val="00413EA8"/>
    <w:rsid w:val="004144F8"/>
    <w:rsid w:val="00415D98"/>
    <w:rsid w:val="00416766"/>
    <w:rsid w:val="00417628"/>
    <w:rsid w:val="00420D02"/>
    <w:rsid w:val="00420D23"/>
    <w:rsid w:val="00425306"/>
    <w:rsid w:val="004279BF"/>
    <w:rsid w:val="004304F4"/>
    <w:rsid w:val="00430F44"/>
    <w:rsid w:val="004318EB"/>
    <w:rsid w:val="00431959"/>
    <w:rsid w:val="0043240A"/>
    <w:rsid w:val="00432DC9"/>
    <w:rsid w:val="00437219"/>
    <w:rsid w:val="00440199"/>
    <w:rsid w:val="00440821"/>
    <w:rsid w:val="00443558"/>
    <w:rsid w:val="00444501"/>
    <w:rsid w:val="004456C6"/>
    <w:rsid w:val="00446159"/>
    <w:rsid w:val="00450588"/>
    <w:rsid w:val="004539CE"/>
    <w:rsid w:val="0045427A"/>
    <w:rsid w:val="0045504F"/>
    <w:rsid w:val="00456436"/>
    <w:rsid w:val="004574BF"/>
    <w:rsid w:val="00462DD2"/>
    <w:rsid w:val="004633D1"/>
    <w:rsid w:val="00463C18"/>
    <w:rsid w:val="00464179"/>
    <w:rsid w:val="004713B3"/>
    <w:rsid w:val="00474C19"/>
    <w:rsid w:val="0047752F"/>
    <w:rsid w:val="004825AA"/>
    <w:rsid w:val="00484428"/>
    <w:rsid w:val="00487D6C"/>
    <w:rsid w:val="00487F7A"/>
    <w:rsid w:val="00492DF3"/>
    <w:rsid w:val="004955ED"/>
    <w:rsid w:val="00496847"/>
    <w:rsid w:val="004A0421"/>
    <w:rsid w:val="004A17FE"/>
    <w:rsid w:val="004A435D"/>
    <w:rsid w:val="004A47C8"/>
    <w:rsid w:val="004A56BA"/>
    <w:rsid w:val="004A67CF"/>
    <w:rsid w:val="004B1701"/>
    <w:rsid w:val="004B2BEE"/>
    <w:rsid w:val="004B4B4C"/>
    <w:rsid w:val="004B60BC"/>
    <w:rsid w:val="004B7140"/>
    <w:rsid w:val="004C2654"/>
    <w:rsid w:val="004C6754"/>
    <w:rsid w:val="004D12D0"/>
    <w:rsid w:val="004D460B"/>
    <w:rsid w:val="004D537F"/>
    <w:rsid w:val="004D6511"/>
    <w:rsid w:val="004D79D5"/>
    <w:rsid w:val="004E3C68"/>
    <w:rsid w:val="004E49F4"/>
    <w:rsid w:val="004E7515"/>
    <w:rsid w:val="004E7A37"/>
    <w:rsid w:val="004F15B3"/>
    <w:rsid w:val="004F5CAC"/>
    <w:rsid w:val="004F686E"/>
    <w:rsid w:val="004F70AE"/>
    <w:rsid w:val="00500698"/>
    <w:rsid w:val="005012DC"/>
    <w:rsid w:val="005038DE"/>
    <w:rsid w:val="0050492B"/>
    <w:rsid w:val="0050740A"/>
    <w:rsid w:val="0050742A"/>
    <w:rsid w:val="00507779"/>
    <w:rsid w:val="005153A4"/>
    <w:rsid w:val="00515D0C"/>
    <w:rsid w:val="00516053"/>
    <w:rsid w:val="005224AD"/>
    <w:rsid w:val="005234BB"/>
    <w:rsid w:val="005241D7"/>
    <w:rsid w:val="00524C20"/>
    <w:rsid w:val="00526058"/>
    <w:rsid w:val="005302F6"/>
    <w:rsid w:val="005341C3"/>
    <w:rsid w:val="00534A7F"/>
    <w:rsid w:val="00535453"/>
    <w:rsid w:val="00540A8A"/>
    <w:rsid w:val="005436FD"/>
    <w:rsid w:val="0054470B"/>
    <w:rsid w:val="00545769"/>
    <w:rsid w:val="005462F9"/>
    <w:rsid w:val="0055132F"/>
    <w:rsid w:val="0055259E"/>
    <w:rsid w:val="00555B09"/>
    <w:rsid w:val="005561A1"/>
    <w:rsid w:val="00556CFF"/>
    <w:rsid w:val="00557851"/>
    <w:rsid w:val="0056077F"/>
    <w:rsid w:val="005617F5"/>
    <w:rsid w:val="005629C2"/>
    <w:rsid w:val="00565368"/>
    <w:rsid w:val="00566E5D"/>
    <w:rsid w:val="00567BA1"/>
    <w:rsid w:val="00570C12"/>
    <w:rsid w:val="0057104C"/>
    <w:rsid w:val="00571F63"/>
    <w:rsid w:val="00572B07"/>
    <w:rsid w:val="0057490F"/>
    <w:rsid w:val="00575018"/>
    <w:rsid w:val="005751CD"/>
    <w:rsid w:val="00575927"/>
    <w:rsid w:val="00576C78"/>
    <w:rsid w:val="00576D9E"/>
    <w:rsid w:val="00577873"/>
    <w:rsid w:val="00582E82"/>
    <w:rsid w:val="0058317E"/>
    <w:rsid w:val="00583C65"/>
    <w:rsid w:val="00584081"/>
    <w:rsid w:val="00584D98"/>
    <w:rsid w:val="00586CDE"/>
    <w:rsid w:val="00586EBD"/>
    <w:rsid w:val="005873F3"/>
    <w:rsid w:val="00590F1D"/>
    <w:rsid w:val="005913BC"/>
    <w:rsid w:val="005929A9"/>
    <w:rsid w:val="00592B85"/>
    <w:rsid w:val="00593362"/>
    <w:rsid w:val="0059591F"/>
    <w:rsid w:val="005A105E"/>
    <w:rsid w:val="005A37AE"/>
    <w:rsid w:val="005A66EA"/>
    <w:rsid w:val="005A70B3"/>
    <w:rsid w:val="005B1474"/>
    <w:rsid w:val="005B33CB"/>
    <w:rsid w:val="005B425B"/>
    <w:rsid w:val="005B52EC"/>
    <w:rsid w:val="005B59F0"/>
    <w:rsid w:val="005B5B75"/>
    <w:rsid w:val="005B665B"/>
    <w:rsid w:val="005B793A"/>
    <w:rsid w:val="005C1256"/>
    <w:rsid w:val="005C20C3"/>
    <w:rsid w:val="005C3AE8"/>
    <w:rsid w:val="005C46C0"/>
    <w:rsid w:val="005C4F58"/>
    <w:rsid w:val="005C531E"/>
    <w:rsid w:val="005C74B4"/>
    <w:rsid w:val="005C7B2A"/>
    <w:rsid w:val="005D0D66"/>
    <w:rsid w:val="005D45E2"/>
    <w:rsid w:val="005D4EF2"/>
    <w:rsid w:val="005D6251"/>
    <w:rsid w:val="005D62D1"/>
    <w:rsid w:val="005D6A90"/>
    <w:rsid w:val="005E3EA9"/>
    <w:rsid w:val="005E5DB8"/>
    <w:rsid w:val="005E5FA1"/>
    <w:rsid w:val="005F18F5"/>
    <w:rsid w:val="005F459F"/>
    <w:rsid w:val="005F4C38"/>
    <w:rsid w:val="005F5942"/>
    <w:rsid w:val="005F6B58"/>
    <w:rsid w:val="005F6F34"/>
    <w:rsid w:val="00603999"/>
    <w:rsid w:val="00610BA5"/>
    <w:rsid w:val="00611FB1"/>
    <w:rsid w:val="00612588"/>
    <w:rsid w:val="00616FB4"/>
    <w:rsid w:val="006231FC"/>
    <w:rsid w:val="00623A06"/>
    <w:rsid w:val="00626E33"/>
    <w:rsid w:val="00630169"/>
    <w:rsid w:val="006305E0"/>
    <w:rsid w:val="0063391C"/>
    <w:rsid w:val="006343E8"/>
    <w:rsid w:val="00634FAF"/>
    <w:rsid w:val="00635B11"/>
    <w:rsid w:val="00637C6A"/>
    <w:rsid w:val="00640A1D"/>
    <w:rsid w:val="00642BA7"/>
    <w:rsid w:val="00645166"/>
    <w:rsid w:val="006469F7"/>
    <w:rsid w:val="00650B01"/>
    <w:rsid w:val="006538C4"/>
    <w:rsid w:val="006561E1"/>
    <w:rsid w:val="00656862"/>
    <w:rsid w:val="00657D70"/>
    <w:rsid w:val="00661060"/>
    <w:rsid w:val="00661A48"/>
    <w:rsid w:val="00661BE7"/>
    <w:rsid w:val="0067145E"/>
    <w:rsid w:val="00674256"/>
    <w:rsid w:val="00677807"/>
    <w:rsid w:val="006827E4"/>
    <w:rsid w:val="00682925"/>
    <w:rsid w:val="006850AE"/>
    <w:rsid w:val="0068530B"/>
    <w:rsid w:val="00685742"/>
    <w:rsid w:val="00686CBD"/>
    <w:rsid w:val="00690951"/>
    <w:rsid w:val="00691CF6"/>
    <w:rsid w:val="00692FD0"/>
    <w:rsid w:val="0069439B"/>
    <w:rsid w:val="0069522D"/>
    <w:rsid w:val="006A310D"/>
    <w:rsid w:val="006A3204"/>
    <w:rsid w:val="006A4051"/>
    <w:rsid w:val="006A4135"/>
    <w:rsid w:val="006A4F6F"/>
    <w:rsid w:val="006A5D3F"/>
    <w:rsid w:val="006A74DE"/>
    <w:rsid w:val="006B408E"/>
    <w:rsid w:val="006B42D1"/>
    <w:rsid w:val="006B67C3"/>
    <w:rsid w:val="006B724C"/>
    <w:rsid w:val="006C248D"/>
    <w:rsid w:val="006D3A89"/>
    <w:rsid w:val="006D3FE4"/>
    <w:rsid w:val="006D4484"/>
    <w:rsid w:val="006D49F3"/>
    <w:rsid w:val="006D56BA"/>
    <w:rsid w:val="006D70F3"/>
    <w:rsid w:val="006D7955"/>
    <w:rsid w:val="006E260E"/>
    <w:rsid w:val="006E6053"/>
    <w:rsid w:val="006F0DAF"/>
    <w:rsid w:val="006F22BB"/>
    <w:rsid w:val="006F2CE5"/>
    <w:rsid w:val="006F4DA3"/>
    <w:rsid w:val="006F7BC5"/>
    <w:rsid w:val="00700576"/>
    <w:rsid w:val="007027E2"/>
    <w:rsid w:val="00703CEA"/>
    <w:rsid w:val="00704AAF"/>
    <w:rsid w:val="00705C54"/>
    <w:rsid w:val="00711E14"/>
    <w:rsid w:val="007125CD"/>
    <w:rsid w:val="00714B7A"/>
    <w:rsid w:val="00715A05"/>
    <w:rsid w:val="007166E4"/>
    <w:rsid w:val="007218CA"/>
    <w:rsid w:val="00722712"/>
    <w:rsid w:val="00722895"/>
    <w:rsid w:val="007237FE"/>
    <w:rsid w:val="0072384E"/>
    <w:rsid w:val="00724EE0"/>
    <w:rsid w:val="00730133"/>
    <w:rsid w:val="00733486"/>
    <w:rsid w:val="00733780"/>
    <w:rsid w:val="00734C01"/>
    <w:rsid w:val="007373AD"/>
    <w:rsid w:val="007406D8"/>
    <w:rsid w:val="00742312"/>
    <w:rsid w:val="00744C72"/>
    <w:rsid w:val="007452E5"/>
    <w:rsid w:val="00746E68"/>
    <w:rsid w:val="007509DD"/>
    <w:rsid w:val="00750DD9"/>
    <w:rsid w:val="007510E5"/>
    <w:rsid w:val="007529F2"/>
    <w:rsid w:val="00754EE1"/>
    <w:rsid w:val="00763024"/>
    <w:rsid w:val="00763925"/>
    <w:rsid w:val="00765471"/>
    <w:rsid w:val="00766C1B"/>
    <w:rsid w:val="007727BA"/>
    <w:rsid w:val="007746B3"/>
    <w:rsid w:val="00774752"/>
    <w:rsid w:val="00781D87"/>
    <w:rsid w:val="00782005"/>
    <w:rsid w:val="00782B4D"/>
    <w:rsid w:val="007929B2"/>
    <w:rsid w:val="00795334"/>
    <w:rsid w:val="007973D2"/>
    <w:rsid w:val="00797CDC"/>
    <w:rsid w:val="007A1AC6"/>
    <w:rsid w:val="007A55CE"/>
    <w:rsid w:val="007A6394"/>
    <w:rsid w:val="007B065B"/>
    <w:rsid w:val="007B1F9E"/>
    <w:rsid w:val="007B40C9"/>
    <w:rsid w:val="007C3A56"/>
    <w:rsid w:val="007C61C8"/>
    <w:rsid w:val="007D38AC"/>
    <w:rsid w:val="007D4CFF"/>
    <w:rsid w:val="007D55A9"/>
    <w:rsid w:val="007D5AC4"/>
    <w:rsid w:val="007D78A0"/>
    <w:rsid w:val="007E1EC8"/>
    <w:rsid w:val="007E41CF"/>
    <w:rsid w:val="007E4710"/>
    <w:rsid w:val="007E5AD6"/>
    <w:rsid w:val="007E5CB4"/>
    <w:rsid w:val="007F0DAF"/>
    <w:rsid w:val="007F4685"/>
    <w:rsid w:val="007F49A4"/>
    <w:rsid w:val="00800747"/>
    <w:rsid w:val="0080551D"/>
    <w:rsid w:val="00805975"/>
    <w:rsid w:val="00807719"/>
    <w:rsid w:val="0081087D"/>
    <w:rsid w:val="00812EA2"/>
    <w:rsid w:val="00813CFD"/>
    <w:rsid w:val="008161B1"/>
    <w:rsid w:val="0081690E"/>
    <w:rsid w:val="00817EF2"/>
    <w:rsid w:val="00820424"/>
    <w:rsid w:val="00823AE5"/>
    <w:rsid w:val="0082421D"/>
    <w:rsid w:val="00824C6E"/>
    <w:rsid w:val="00830CB3"/>
    <w:rsid w:val="00835A18"/>
    <w:rsid w:val="00836156"/>
    <w:rsid w:val="008370C3"/>
    <w:rsid w:val="00843073"/>
    <w:rsid w:val="0084316C"/>
    <w:rsid w:val="00844D54"/>
    <w:rsid w:val="00845A45"/>
    <w:rsid w:val="0084618F"/>
    <w:rsid w:val="00846C9C"/>
    <w:rsid w:val="00850E29"/>
    <w:rsid w:val="008511D7"/>
    <w:rsid w:val="008520A4"/>
    <w:rsid w:val="00852489"/>
    <w:rsid w:val="00853F53"/>
    <w:rsid w:val="00854EB6"/>
    <w:rsid w:val="00862E29"/>
    <w:rsid w:val="008630E8"/>
    <w:rsid w:val="00863FFD"/>
    <w:rsid w:val="00865987"/>
    <w:rsid w:val="0086624F"/>
    <w:rsid w:val="008743E7"/>
    <w:rsid w:val="008745FC"/>
    <w:rsid w:val="008747A0"/>
    <w:rsid w:val="00880FEE"/>
    <w:rsid w:val="008817A9"/>
    <w:rsid w:val="008827A3"/>
    <w:rsid w:val="008840B2"/>
    <w:rsid w:val="008854B9"/>
    <w:rsid w:val="008863C6"/>
    <w:rsid w:val="008874A1"/>
    <w:rsid w:val="00890247"/>
    <w:rsid w:val="00891003"/>
    <w:rsid w:val="00896B95"/>
    <w:rsid w:val="008A1CCA"/>
    <w:rsid w:val="008A42EC"/>
    <w:rsid w:val="008A6934"/>
    <w:rsid w:val="008B038F"/>
    <w:rsid w:val="008B20FF"/>
    <w:rsid w:val="008B2EED"/>
    <w:rsid w:val="008B357F"/>
    <w:rsid w:val="008B38C9"/>
    <w:rsid w:val="008B3CCB"/>
    <w:rsid w:val="008B5823"/>
    <w:rsid w:val="008B6536"/>
    <w:rsid w:val="008B6B9F"/>
    <w:rsid w:val="008B6E80"/>
    <w:rsid w:val="008C08F0"/>
    <w:rsid w:val="008C0C4B"/>
    <w:rsid w:val="008C35CE"/>
    <w:rsid w:val="008C4575"/>
    <w:rsid w:val="008D054B"/>
    <w:rsid w:val="008D29F5"/>
    <w:rsid w:val="008D328C"/>
    <w:rsid w:val="008D43BC"/>
    <w:rsid w:val="008D47F0"/>
    <w:rsid w:val="008D4E06"/>
    <w:rsid w:val="008D5007"/>
    <w:rsid w:val="008D5631"/>
    <w:rsid w:val="008D6B01"/>
    <w:rsid w:val="008E2C7B"/>
    <w:rsid w:val="008E36E9"/>
    <w:rsid w:val="008E5F9E"/>
    <w:rsid w:val="008E6BE3"/>
    <w:rsid w:val="008F23B8"/>
    <w:rsid w:val="008F25D4"/>
    <w:rsid w:val="008F6514"/>
    <w:rsid w:val="008F778F"/>
    <w:rsid w:val="009000F1"/>
    <w:rsid w:val="00900331"/>
    <w:rsid w:val="00902339"/>
    <w:rsid w:val="009030BD"/>
    <w:rsid w:val="00904FEF"/>
    <w:rsid w:val="00906535"/>
    <w:rsid w:val="00907061"/>
    <w:rsid w:val="00911F87"/>
    <w:rsid w:val="00911FA6"/>
    <w:rsid w:val="009124E6"/>
    <w:rsid w:val="0091474E"/>
    <w:rsid w:val="00916CD8"/>
    <w:rsid w:val="00917F3C"/>
    <w:rsid w:val="009218B8"/>
    <w:rsid w:val="0092510E"/>
    <w:rsid w:val="00927AB1"/>
    <w:rsid w:val="00927CAC"/>
    <w:rsid w:val="00930B48"/>
    <w:rsid w:val="00932665"/>
    <w:rsid w:val="009364E8"/>
    <w:rsid w:val="00937607"/>
    <w:rsid w:val="00940A89"/>
    <w:rsid w:val="00940B79"/>
    <w:rsid w:val="00941DCA"/>
    <w:rsid w:val="009425D8"/>
    <w:rsid w:val="0094342B"/>
    <w:rsid w:val="00943875"/>
    <w:rsid w:val="0094437D"/>
    <w:rsid w:val="00946625"/>
    <w:rsid w:val="0094699F"/>
    <w:rsid w:val="00950F64"/>
    <w:rsid w:val="009522EF"/>
    <w:rsid w:val="00952AEA"/>
    <w:rsid w:val="00952E39"/>
    <w:rsid w:val="00953365"/>
    <w:rsid w:val="00955AD0"/>
    <w:rsid w:val="00960033"/>
    <w:rsid w:val="00960C2A"/>
    <w:rsid w:val="00967478"/>
    <w:rsid w:val="0097464D"/>
    <w:rsid w:val="009748D7"/>
    <w:rsid w:val="0097521C"/>
    <w:rsid w:val="00975BFF"/>
    <w:rsid w:val="00980E1F"/>
    <w:rsid w:val="0098108C"/>
    <w:rsid w:val="009830EE"/>
    <w:rsid w:val="00983C65"/>
    <w:rsid w:val="00985D29"/>
    <w:rsid w:val="00987E24"/>
    <w:rsid w:val="00990D7D"/>
    <w:rsid w:val="009925F2"/>
    <w:rsid w:val="00992DBA"/>
    <w:rsid w:val="00992DEB"/>
    <w:rsid w:val="0099301B"/>
    <w:rsid w:val="0099347B"/>
    <w:rsid w:val="00995899"/>
    <w:rsid w:val="00996F22"/>
    <w:rsid w:val="009A1567"/>
    <w:rsid w:val="009A2F16"/>
    <w:rsid w:val="009A3585"/>
    <w:rsid w:val="009A3E21"/>
    <w:rsid w:val="009A48E9"/>
    <w:rsid w:val="009A52F4"/>
    <w:rsid w:val="009A7BA8"/>
    <w:rsid w:val="009B0A07"/>
    <w:rsid w:val="009B16CB"/>
    <w:rsid w:val="009B1FA1"/>
    <w:rsid w:val="009B4146"/>
    <w:rsid w:val="009C1927"/>
    <w:rsid w:val="009C4DCC"/>
    <w:rsid w:val="009C6C8B"/>
    <w:rsid w:val="009D02FB"/>
    <w:rsid w:val="009D2164"/>
    <w:rsid w:val="009D284F"/>
    <w:rsid w:val="009D2AFA"/>
    <w:rsid w:val="009D2B89"/>
    <w:rsid w:val="009D3494"/>
    <w:rsid w:val="009D3DB3"/>
    <w:rsid w:val="009D74A1"/>
    <w:rsid w:val="009E2944"/>
    <w:rsid w:val="009E4281"/>
    <w:rsid w:val="009E5A0D"/>
    <w:rsid w:val="009E70A4"/>
    <w:rsid w:val="009E79CC"/>
    <w:rsid w:val="009F3710"/>
    <w:rsid w:val="009F403E"/>
    <w:rsid w:val="009F6C79"/>
    <w:rsid w:val="00A00878"/>
    <w:rsid w:val="00A02C53"/>
    <w:rsid w:val="00A0465C"/>
    <w:rsid w:val="00A05764"/>
    <w:rsid w:val="00A066BA"/>
    <w:rsid w:val="00A06A32"/>
    <w:rsid w:val="00A0731A"/>
    <w:rsid w:val="00A15C59"/>
    <w:rsid w:val="00A16EA1"/>
    <w:rsid w:val="00A17DDD"/>
    <w:rsid w:val="00A22C27"/>
    <w:rsid w:val="00A24674"/>
    <w:rsid w:val="00A31DDB"/>
    <w:rsid w:val="00A3288C"/>
    <w:rsid w:val="00A348ED"/>
    <w:rsid w:val="00A3558D"/>
    <w:rsid w:val="00A366B3"/>
    <w:rsid w:val="00A37005"/>
    <w:rsid w:val="00A40758"/>
    <w:rsid w:val="00A42C30"/>
    <w:rsid w:val="00A47102"/>
    <w:rsid w:val="00A4711E"/>
    <w:rsid w:val="00A5234D"/>
    <w:rsid w:val="00A52654"/>
    <w:rsid w:val="00A5475F"/>
    <w:rsid w:val="00A547EB"/>
    <w:rsid w:val="00A54B69"/>
    <w:rsid w:val="00A57F5C"/>
    <w:rsid w:val="00A6412E"/>
    <w:rsid w:val="00A64D37"/>
    <w:rsid w:val="00A668C4"/>
    <w:rsid w:val="00A677D0"/>
    <w:rsid w:val="00A73DBB"/>
    <w:rsid w:val="00A80892"/>
    <w:rsid w:val="00A8459D"/>
    <w:rsid w:val="00A86548"/>
    <w:rsid w:val="00A87123"/>
    <w:rsid w:val="00A87564"/>
    <w:rsid w:val="00A900CD"/>
    <w:rsid w:val="00A97717"/>
    <w:rsid w:val="00A979E7"/>
    <w:rsid w:val="00AA036B"/>
    <w:rsid w:val="00AA0655"/>
    <w:rsid w:val="00AA155B"/>
    <w:rsid w:val="00AA2403"/>
    <w:rsid w:val="00AA5AE1"/>
    <w:rsid w:val="00AA75BB"/>
    <w:rsid w:val="00AA760B"/>
    <w:rsid w:val="00AB48D8"/>
    <w:rsid w:val="00AB5406"/>
    <w:rsid w:val="00AB7829"/>
    <w:rsid w:val="00AB7E0F"/>
    <w:rsid w:val="00AC1D69"/>
    <w:rsid w:val="00AC355A"/>
    <w:rsid w:val="00AC3F1F"/>
    <w:rsid w:val="00AC7956"/>
    <w:rsid w:val="00AD1447"/>
    <w:rsid w:val="00AD2151"/>
    <w:rsid w:val="00AD6133"/>
    <w:rsid w:val="00AD6C47"/>
    <w:rsid w:val="00AD6D10"/>
    <w:rsid w:val="00AD70EE"/>
    <w:rsid w:val="00AE06D3"/>
    <w:rsid w:val="00AF0939"/>
    <w:rsid w:val="00AF153A"/>
    <w:rsid w:val="00AF1D46"/>
    <w:rsid w:val="00AF2033"/>
    <w:rsid w:val="00AF33A0"/>
    <w:rsid w:val="00B01283"/>
    <w:rsid w:val="00B023A2"/>
    <w:rsid w:val="00B03B1A"/>
    <w:rsid w:val="00B04F29"/>
    <w:rsid w:val="00B06DB8"/>
    <w:rsid w:val="00B079EF"/>
    <w:rsid w:val="00B10421"/>
    <w:rsid w:val="00B116F7"/>
    <w:rsid w:val="00B14E5D"/>
    <w:rsid w:val="00B15649"/>
    <w:rsid w:val="00B209B9"/>
    <w:rsid w:val="00B20E16"/>
    <w:rsid w:val="00B211D9"/>
    <w:rsid w:val="00B21874"/>
    <w:rsid w:val="00B24449"/>
    <w:rsid w:val="00B24AB4"/>
    <w:rsid w:val="00B253EB"/>
    <w:rsid w:val="00B317DC"/>
    <w:rsid w:val="00B349AE"/>
    <w:rsid w:val="00B352AB"/>
    <w:rsid w:val="00B360E2"/>
    <w:rsid w:val="00B36B19"/>
    <w:rsid w:val="00B37EBC"/>
    <w:rsid w:val="00B40ABE"/>
    <w:rsid w:val="00B41024"/>
    <w:rsid w:val="00B41A1B"/>
    <w:rsid w:val="00B43417"/>
    <w:rsid w:val="00B43CFD"/>
    <w:rsid w:val="00B455F1"/>
    <w:rsid w:val="00B51AB7"/>
    <w:rsid w:val="00B52EBE"/>
    <w:rsid w:val="00B5482E"/>
    <w:rsid w:val="00B550D3"/>
    <w:rsid w:val="00B573C7"/>
    <w:rsid w:val="00B57939"/>
    <w:rsid w:val="00B606A6"/>
    <w:rsid w:val="00B64214"/>
    <w:rsid w:val="00B64CCF"/>
    <w:rsid w:val="00B65132"/>
    <w:rsid w:val="00B7278D"/>
    <w:rsid w:val="00B80966"/>
    <w:rsid w:val="00B81D96"/>
    <w:rsid w:val="00B82CF8"/>
    <w:rsid w:val="00B83467"/>
    <w:rsid w:val="00B85FDE"/>
    <w:rsid w:val="00B86FA2"/>
    <w:rsid w:val="00B875E8"/>
    <w:rsid w:val="00B8776A"/>
    <w:rsid w:val="00B87A56"/>
    <w:rsid w:val="00B87EA9"/>
    <w:rsid w:val="00B90069"/>
    <w:rsid w:val="00B90144"/>
    <w:rsid w:val="00B903F2"/>
    <w:rsid w:val="00B9503B"/>
    <w:rsid w:val="00B957FE"/>
    <w:rsid w:val="00B96109"/>
    <w:rsid w:val="00B975B7"/>
    <w:rsid w:val="00BA0DD6"/>
    <w:rsid w:val="00BA15C5"/>
    <w:rsid w:val="00BA205E"/>
    <w:rsid w:val="00BA273C"/>
    <w:rsid w:val="00BA2B07"/>
    <w:rsid w:val="00BA4434"/>
    <w:rsid w:val="00BA52AA"/>
    <w:rsid w:val="00BA57F2"/>
    <w:rsid w:val="00BA6398"/>
    <w:rsid w:val="00BA7730"/>
    <w:rsid w:val="00BB34A3"/>
    <w:rsid w:val="00BB5FA9"/>
    <w:rsid w:val="00BB636E"/>
    <w:rsid w:val="00BC0868"/>
    <w:rsid w:val="00BC114B"/>
    <w:rsid w:val="00BC1C9F"/>
    <w:rsid w:val="00BC21DA"/>
    <w:rsid w:val="00BC396F"/>
    <w:rsid w:val="00BC3F1A"/>
    <w:rsid w:val="00BC462C"/>
    <w:rsid w:val="00BC4F88"/>
    <w:rsid w:val="00BC7AEC"/>
    <w:rsid w:val="00BD09CF"/>
    <w:rsid w:val="00BD0EEB"/>
    <w:rsid w:val="00BD19D4"/>
    <w:rsid w:val="00BD2FC7"/>
    <w:rsid w:val="00BD44BA"/>
    <w:rsid w:val="00BD468D"/>
    <w:rsid w:val="00BD4942"/>
    <w:rsid w:val="00BD7BB5"/>
    <w:rsid w:val="00BE0733"/>
    <w:rsid w:val="00BE0BCF"/>
    <w:rsid w:val="00BE24D9"/>
    <w:rsid w:val="00BE27B7"/>
    <w:rsid w:val="00BE4447"/>
    <w:rsid w:val="00BE6179"/>
    <w:rsid w:val="00BF0278"/>
    <w:rsid w:val="00BF13E7"/>
    <w:rsid w:val="00BF2301"/>
    <w:rsid w:val="00BF2409"/>
    <w:rsid w:val="00BF71EF"/>
    <w:rsid w:val="00C030E1"/>
    <w:rsid w:val="00C056A7"/>
    <w:rsid w:val="00C05A7C"/>
    <w:rsid w:val="00C113C7"/>
    <w:rsid w:val="00C11783"/>
    <w:rsid w:val="00C127F7"/>
    <w:rsid w:val="00C1296C"/>
    <w:rsid w:val="00C14BE0"/>
    <w:rsid w:val="00C171C3"/>
    <w:rsid w:val="00C20AEC"/>
    <w:rsid w:val="00C217D4"/>
    <w:rsid w:val="00C21B69"/>
    <w:rsid w:val="00C21D3B"/>
    <w:rsid w:val="00C2264B"/>
    <w:rsid w:val="00C237AF"/>
    <w:rsid w:val="00C23AED"/>
    <w:rsid w:val="00C243E6"/>
    <w:rsid w:val="00C2592F"/>
    <w:rsid w:val="00C300CE"/>
    <w:rsid w:val="00C301AD"/>
    <w:rsid w:val="00C31385"/>
    <w:rsid w:val="00C31665"/>
    <w:rsid w:val="00C341BF"/>
    <w:rsid w:val="00C365C5"/>
    <w:rsid w:val="00C37054"/>
    <w:rsid w:val="00C40396"/>
    <w:rsid w:val="00C4655F"/>
    <w:rsid w:val="00C46611"/>
    <w:rsid w:val="00C46645"/>
    <w:rsid w:val="00C50A19"/>
    <w:rsid w:val="00C5336C"/>
    <w:rsid w:val="00C5371F"/>
    <w:rsid w:val="00C537F0"/>
    <w:rsid w:val="00C550AB"/>
    <w:rsid w:val="00C554F0"/>
    <w:rsid w:val="00C5669E"/>
    <w:rsid w:val="00C612BC"/>
    <w:rsid w:val="00C66E4D"/>
    <w:rsid w:val="00C6756D"/>
    <w:rsid w:val="00C67C8D"/>
    <w:rsid w:val="00C7224F"/>
    <w:rsid w:val="00C73317"/>
    <w:rsid w:val="00C7476E"/>
    <w:rsid w:val="00C77E0B"/>
    <w:rsid w:val="00C82ADA"/>
    <w:rsid w:val="00C834D2"/>
    <w:rsid w:val="00C847EA"/>
    <w:rsid w:val="00C855C4"/>
    <w:rsid w:val="00C85706"/>
    <w:rsid w:val="00C85D68"/>
    <w:rsid w:val="00C85E48"/>
    <w:rsid w:val="00C8666F"/>
    <w:rsid w:val="00C878D5"/>
    <w:rsid w:val="00C954D4"/>
    <w:rsid w:val="00C955B2"/>
    <w:rsid w:val="00C96984"/>
    <w:rsid w:val="00CA00DA"/>
    <w:rsid w:val="00CA2C07"/>
    <w:rsid w:val="00CA4F59"/>
    <w:rsid w:val="00CA5696"/>
    <w:rsid w:val="00CB05CF"/>
    <w:rsid w:val="00CB362E"/>
    <w:rsid w:val="00CB5866"/>
    <w:rsid w:val="00CB6CEA"/>
    <w:rsid w:val="00CC2713"/>
    <w:rsid w:val="00CC5686"/>
    <w:rsid w:val="00CC5E0F"/>
    <w:rsid w:val="00CD0AF0"/>
    <w:rsid w:val="00CD154A"/>
    <w:rsid w:val="00CD2413"/>
    <w:rsid w:val="00CE00C7"/>
    <w:rsid w:val="00CE12FE"/>
    <w:rsid w:val="00CE2370"/>
    <w:rsid w:val="00CE3851"/>
    <w:rsid w:val="00CE3BE8"/>
    <w:rsid w:val="00CE3C06"/>
    <w:rsid w:val="00CE6B83"/>
    <w:rsid w:val="00CE7B6F"/>
    <w:rsid w:val="00CE7ECF"/>
    <w:rsid w:val="00CF25FC"/>
    <w:rsid w:val="00CF3277"/>
    <w:rsid w:val="00D02BF6"/>
    <w:rsid w:val="00D02F02"/>
    <w:rsid w:val="00D0300A"/>
    <w:rsid w:val="00D03D0F"/>
    <w:rsid w:val="00D05188"/>
    <w:rsid w:val="00D05376"/>
    <w:rsid w:val="00D12B1A"/>
    <w:rsid w:val="00D13B24"/>
    <w:rsid w:val="00D15BB8"/>
    <w:rsid w:val="00D22508"/>
    <w:rsid w:val="00D24378"/>
    <w:rsid w:val="00D26A23"/>
    <w:rsid w:val="00D3243F"/>
    <w:rsid w:val="00D32445"/>
    <w:rsid w:val="00D34D59"/>
    <w:rsid w:val="00D35950"/>
    <w:rsid w:val="00D35D47"/>
    <w:rsid w:val="00D41373"/>
    <w:rsid w:val="00D41564"/>
    <w:rsid w:val="00D424A6"/>
    <w:rsid w:val="00D437E5"/>
    <w:rsid w:val="00D43E6B"/>
    <w:rsid w:val="00D44132"/>
    <w:rsid w:val="00D45626"/>
    <w:rsid w:val="00D5464F"/>
    <w:rsid w:val="00D559A2"/>
    <w:rsid w:val="00D57304"/>
    <w:rsid w:val="00D57434"/>
    <w:rsid w:val="00D623F3"/>
    <w:rsid w:val="00D639B2"/>
    <w:rsid w:val="00D63E56"/>
    <w:rsid w:val="00D66E1A"/>
    <w:rsid w:val="00D72B6D"/>
    <w:rsid w:val="00D77089"/>
    <w:rsid w:val="00D80E0C"/>
    <w:rsid w:val="00D816AE"/>
    <w:rsid w:val="00D823B1"/>
    <w:rsid w:val="00D8346A"/>
    <w:rsid w:val="00D83A6F"/>
    <w:rsid w:val="00D84BE6"/>
    <w:rsid w:val="00D862CD"/>
    <w:rsid w:val="00D8635D"/>
    <w:rsid w:val="00D86D09"/>
    <w:rsid w:val="00D914CB"/>
    <w:rsid w:val="00D92941"/>
    <w:rsid w:val="00D938E3"/>
    <w:rsid w:val="00D93DC8"/>
    <w:rsid w:val="00D93E06"/>
    <w:rsid w:val="00D97387"/>
    <w:rsid w:val="00D97F51"/>
    <w:rsid w:val="00DA0523"/>
    <w:rsid w:val="00DA230A"/>
    <w:rsid w:val="00DA3135"/>
    <w:rsid w:val="00DA4D24"/>
    <w:rsid w:val="00DA6531"/>
    <w:rsid w:val="00DB0878"/>
    <w:rsid w:val="00DB1A01"/>
    <w:rsid w:val="00DB4139"/>
    <w:rsid w:val="00DC0B6D"/>
    <w:rsid w:val="00DC1981"/>
    <w:rsid w:val="00DC309C"/>
    <w:rsid w:val="00DC3D98"/>
    <w:rsid w:val="00DC5801"/>
    <w:rsid w:val="00DC6091"/>
    <w:rsid w:val="00DC7242"/>
    <w:rsid w:val="00DC79F4"/>
    <w:rsid w:val="00DD012F"/>
    <w:rsid w:val="00DD13FA"/>
    <w:rsid w:val="00DD6AC5"/>
    <w:rsid w:val="00DD6FB8"/>
    <w:rsid w:val="00DD7C5B"/>
    <w:rsid w:val="00DE04D7"/>
    <w:rsid w:val="00DE0C78"/>
    <w:rsid w:val="00DE0EA2"/>
    <w:rsid w:val="00DE2925"/>
    <w:rsid w:val="00DE3A1A"/>
    <w:rsid w:val="00DE3DF9"/>
    <w:rsid w:val="00DF1C08"/>
    <w:rsid w:val="00DF321D"/>
    <w:rsid w:val="00DF3A2C"/>
    <w:rsid w:val="00DF3B90"/>
    <w:rsid w:val="00DF3F53"/>
    <w:rsid w:val="00DF4B12"/>
    <w:rsid w:val="00DF4E93"/>
    <w:rsid w:val="00DF6753"/>
    <w:rsid w:val="00E01183"/>
    <w:rsid w:val="00E02AF0"/>
    <w:rsid w:val="00E03CF0"/>
    <w:rsid w:val="00E05010"/>
    <w:rsid w:val="00E0501B"/>
    <w:rsid w:val="00E07E8A"/>
    <w:rsid w:val="00E101D4"/>
    <w:rsid w:val="00E103A7"/>
    <w:rsid w:val="00E10850"/>
    <w:rsid w:val="00E12C67"/>
    <w:rsid w:val="00E134FB"/>
    <w:rsid w:val="00E15206"/>
    <w:rsid w:val="00E15B0D"/>
    <w:rsid w:val="00E1734B"/>
    <w:rsid w:val="00E20CB9"/>
    <w:rsid w:val="00E217D0"/>
    <w:rsid w:val="00E2397E"/>
    <w:rsid w:val="00E23A61"/>
    <w:rsid w:val="00E27151"/>
    <w:rsid w:val="00E27912"/>
    <w:rsid w:val="00E308F9"/>
    <w:rsid w:val="00E32361"/>
    <w:rsid w:val="00E32445"/>
    <w:rsid w:val="00E32D06"/>
    <w:rsid w:val="00E34B99"/>
    <w:rsid w:val="00E34C33"/>
    <w:rsid w:val="00E36F1B"/>
    <w:rsid w:val="00E40BDE"/>
    <w:rsid w:val="00E40C19"/>
    <w:rsid w:val="00E416C7"/>
    <w:rsid w:val="00E428A4"/>
    <w:rsid w:val="00E43821"/>
    <w:rsid w:val="00E43EFE"/>
    <w:rsid w:val="00E446C6"/>
    <w:rsid w:val="00E44D8B"/>
    <w:rsid w:val="00E45AD1"/>
    <w:rsid w:val="00E46FBF"/>
    <w:rsid w:val="00E501FF"/>
    <w:rsid w:val="00E51219"/>
    <w:rsid w:val="00E57833"/>
    <w:rsid w:val="00E60C90"/>
    <w:rsid w:val="00E61033"/>
    <w:rsid w:val="00E6131E"/>
    <w:rsid w:val="00E6167D"/>
    <w:rsid w:val="00E62080"/>
    <w:rsid w:val="00E62092"/>
    <w:rsid w:val="00E62F33"/>
    <w:rsid w:val="00E64235"/>
    <w:rsid w:val="00E669D6"/>
    <w:rsid w:val="00E67A30"/>
    <w:rsid w:val="00E70F45"/>
    <w:rsid w:val="00E72573"/>
    <w:rsid w:val="00E74461"/>
    <w:rsid w:val="00E74716"/>
    <w:rsid w:val="00E74E2F"/>
    <w:rsid w:val="00E75ADE"/>
    <w:rsid w:val="00E768CB"/>
    <w:rsid w:val="00E77804"/>
    <w:rsid w:val="00E77ADC"/>
    <w:rsid w:val="00E86E87"/>
    <w:rsid w:val="00E87BC8"/>
    <w:rsid w:val="00E903C4"/>
    <w:rsid w:val="00E97F43"/>
    <w:rsid w:val="00EA25CD"/>
    <w:rsid w:val="00EA34B2"/>
    <w:rsid w:val="00EA4AB0"/>
    <w:rsid w:val="00EA5650"/>
    <w:rsid w:val="00EA61BF"/>
    <w:rsid w:val="00EA692A"/>
    <w:rsid w:val="00EB1675"/>
    <w:rsid w:val="00EB3F84"/>
    <w:rsid w:val="00EB54C9"/>
    <w:rsid w:val="00EB749A"/>
    <w:rsid w:val="00EC012C"/>
    <w:rsid w:val="00EC18B4"/>
    <w:rsid w:val="00EC3906"/>
    <w:rsid w:val="00EC52B7"/>
    <w:rsid w:val="00EC5DAC"/>
    <w:rsid w:val="00EC5F93"/>
    <w:rsid w:val="00EC7F33"/>
    <w:rsid w:val="00ED0771"/>
    <w:rsid w:val="00ED0B01"/>
    <w:rsid w:val="00ED0F2E"/>
    <w:rsid w:val="00ED3759"/>
    <w:rsid w:val="00ED48AC"/>
    <w:rsid w:val="00ED4ACB"/>
    <w:rsid w:val="00ED56AD"/>
    <w:rsid w:val="00ED5AFF"/>
    <w:rsid w:val="00ED774A"/>
    <w:rsid w:val="00ED7DC6"/>
    <w:rsid w:val="00EE1958"/>
    <w:rsid w:val="00EE551F"/>
    <w:rsid w:val="00EE574A"/>
    <w:rsid w:val="00EE59EF"/>
    <w:rsid w:val="00EE5A17"/>
    <w:rsid w:val="00EF0997"/>
    <w:rsid w:val="00EF0B9D"/>
    <w:rsid w:val="00EF45AA"/>
    <w:rsid w:val="00EF635C"/>
    <w:rsid w:val="00EF6ECA"/>
    <w:rsid w:val="00EF79AF"/>
    <w:rsid w:val="00F0002D"/>
    <w:rsid w:val="00F0244C"/>
    <w:rsid w:val="00F02F5C"/>
    <w:rsid w:val="00F037D0"/>
    <w:rsid w:val="00F044B0"/>
    <w:rsid w:val="00F05686"/>
    <w:rsid w:val="00F07140"/>
    <w:rsid w:val="00F113B2"/>
    <w:rsid w:val="00F11C84"/>
    <w:rsid w:val="00F15A69"/>
    <w:rsid w:val="00F25148"/>
    <w:rsid w:val="00F25E4B"/>
    <w:rsid w:val="00F27DF0"/>
    <w:rsid w:val="00F31199"/>
    <w:rsid w:val="00F316D5"/>
    <w:rsid w:val="00F3318D"/>
    <w:rsid w:val="00F40C1B"/>
    <w:rsid w:val="00F42C75"/>
    <w:rsid w:val="00F42FE7"/>
    <w:rsid w:val="00F43A77"/>
    <w:rsid w:val="00F441B8"/>
    <w:rsid w:val="00F45057"/>
    <w:rsid w:val="00F45E12"/>
    <w:rsid w:val="00F46B7E"/>
    <w:rsid w:val="00F46F03"/>
    <w:rsid w:val="00F51052"/>
    <w:rsid w:val="00F61D23"/>
    <w:rsid w:val="00F631BB"/>
    <w:rsid w:val="00F6689A"/>
    <w:rsid w:val="00F700DA"/>
    <w:rsid w:val="00F7064C"/>
    <w:rsid w:val="00F70F0F"/>
    <w:rsid w:val="00F72076"/>
    <w:rsid w:val="00F73CEC"/>
    <w:rsid w:val="00F754D3"/>
    <w:rsid w:val="00F768B8"/>
    <w:rsid w:val="00F77208"/>
    <w:rsid w:val="00F80A67"/>
    <w:rsid w:val="00F82FAB"/>
    <w:rsid w:val="00F85083"/>
    <w:rsid w:val="00F856B8"/>
    <w:rsid w:val="00F85745"/>
    <w:rsid w:val="00F907CA"/>
    <w:rsid w:val="00F9451D"/>
    <w:rsid w:val="00FA1A3D"/>
    <w:rsid w:val="00FA6C91"/>
    <w:rsid w:val="00FB0951"/>
    <w:rsid w:val="00FB0DF5"/>
    <w:rsid w:val="00FB217A"/>
    <w:rsid w:val="00FB3098"/>
    <w:rsid w:val="00FB38BF"/>
    <w:rsid w:val="00FB4084"/>
    <w:rsid w:val="00FB462B"/>
    <w:rsid w:val="00FB514B"/>
    <w:rsid w:val="00FC2179"/>
    <w:rsid w:val="00FC2247"/>
    <w:rsid w:val="00FC23F6"/>
    <w:rsid w:val="00FC7398"/>
    <w:rsid w:val="00FC778F"/>
    <w:rsid w:val="00FD43AF"/>
    <w:rsid w:val="00FD6AB3"/>
    <w:rsid w:val="00FE2F50"/>
    <w:rsid w:val="00FE3369"/>
    <w:rsid w:val="00FE3DDD"/>
    <w:rsid w:val="00FE4B7C"/>
    <w:rsid w:val="00FE52CB"/>
    <w:rsid w:val="00FE6658"/>
    <w:rsid w:val="00FF00B9"/>
    <w:rsid w:val="00FF319D"/>
    <w:rsid w:val="00FF3677"/>
    <w:rsid w:val="00FF4C46"/>
    <w:rsid w:val="00FF77C9"/>
    <w:rsid w:val="00FF780B"/>
    <w:rsid w:val="00FF7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C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oundry Sans" w:eastAsia="Times New Roman" w:hAnsi="Foundry Sans" w:cs="Times New Roman"/>
        <w:sz w:val="24"/>
        <w:szCs w:val="24"/>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78F"/>
    <w:pPr>
      <w:spacing w:after="260" w:line="260" w:lineRule="atLeas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778F"/>
    <w:pPr>
      <w:spacing w:after="27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fo">
    <w:name w:val="TitleInfo"/>
    <w:basedOn w:val="Normal"/>
    <w:rsid w:val="00FC778F"/>
    <w:pPr>
      <w:spacing w:after="80" w:line="300" w:lineRule="atLeast"/>
    </w:pPr>
    <w:rPr>
      <w:sz w:val="18"/>
    </w:rPr>
  </w:style>
  <w:style w:type="paragraph" w:customStyle="1" w:styleId="TitleHeading">
    <w:name w:val="TitleHeading"/>
    <w:basedOn w:val="Normal"/>
    <w:rsid w:val="00FC778F"/>
    <w:pPr>
      <w:spacing w:before="20" w:after="0" w:line="420" w:lineRule="atLeast"/>
    </w:pPr>
    <w:rPr>
      <w:b/>
      <w:sz w:val="34"/>
    </w:rPr>
  </w:style>
  <w:style w:type="paragraph" w:customStyle="1" w:styleId="TitleNo">
    <w:name w:val="TitleNo"/>
    <w:basedOn w:val="Normal"/>
    <w:rsid w:val="00FC778F"/>
    <w:pPr>
      <w:spacing w:after="0" w:line="840" w:lineRule="atLeast"/>
      <w:jc w:val="right"/>
    </w:pPr>
    <w:rPr>
      <w:b/>
      <w:sz w:val="90"/>
    </w:rPr>
  </w:style>
  <w:style w:type="paragraph" w:customStyle="1" w:styleId="TitleMeeting">
    <w:name w:val="TitleMeeting"/>
    <w:basedOn w:val="Normal"/>
    <w:rsid w:val="00FC778F"/>
    <w:pPr>
      <w:spacing w:after="0" w:line="310" w:lineRule="atLeast"/>
    </w:pPr>
    <w:rPr>
      <w:sz w:val="26"/>
    </w:rPr>
  </w:style>
  <w:style w:type="paragraph" w:customStyle="1" w:styleId="TitleText">
    <w:name w:val="TitleText"/>
    <w:basedOn w:val="Normal"/>
    <w:rsid w:val="00FC778F"/>
    <w:pPr>
      <w:spacing w:after="0"/>
    </w:pPr>
  </w:style>
  <w:style w:type="paragraph" w:customStyle="1" w:styleId="TitleTextSm">
    <w:name w:val="TitleTextSm"/>
    <w:basedOn w:val="Normal"/>
    <w:rsid w:val="00FC778F"/>
    <w:pPr>
      <w:spacing w:after="120" w:line="240" w:lineRule="atLeast"/>
    </w:pPr>
    <w:rPr>
      <w:sz w:val="18"/>
    </w:rPr>
  </w:style>
  <w:style w:type="paragraph" w:customStyle="1" w:styleId="NormalSm">
    <w:name w:val="NormalSm"/>
    <w:basedOn w:val="Normal"/>
    <w:uiPriority w:val="99"/>
    <w:rsid w:val="00FC778F"/>
  </w:style>
  <w:style w:type="paragraph" w:customStyle="1" w:styleId="HeadingSm">
    <w:name w:val="HeadingSm"/>
    <w:basedOn w:val="NormalSm"/>
    <w:next w:val="NormalSm"/>
    <w:rsid w:val="00FC778F"/>
    <w:pPr>
      <w:keepNext/>
      <w:spacing w:after="0"/>
    </w:pPr>
    <w:rPr>
      <w:b/>
    </w:rPr>
  </w:style>
  <w:style w:type="paragraph" w:customStyle="1" w:styleId="Heading">
    <w:name w:val="Heading"/>
    <w:basedOn w:val="Normal"/>
    <w:next w:val="Normal"/>
    <w:rsid w:val="00FC778F"/>
    <w:pPr>
      <w:keepNext/>
      <w:spacing w:after="0"/>
    </w:pPr>
    <w:rPr>
      <w:b/>
      <w:sz w:val="26"/>
    </w:rPr>
  </w:style>
  <w:style w:type="paragraph" w:customStyle="1" w:styleId="NormalSmNoSpace">
    <w:name w:val="NormalSmNoSpace"/>
    <w:basedOn w:val="NormalSm"/>
    <w:rsid w:val="00FC778F"/>
    <w:pPr>
      <w:spacing w:after="0"/>
    </w:pPr>
  </w:style>
  <w:style w:type="paragraph" w:customStyle="1" w:styleId="NormalNoSpace">
    <w:name w:val="NormalNoSpace"/>
    <w:basedOn w:val="Normal"/>
    <w:rsid w:val="00FC778F"/>
    <w:pPr>
      <w:spacing w:after="0"/>
    </w:pPr>
  </w:style>
  <w:style w:type="paragraph" w:customStyle="1" w:styleId="NumbList">
    <w:name w:val="NumbList"/>
    <w:basedOn w:val="Normal"/>
    <w:link w:val="NumbListChar"/>
    <w:rsid w:val="00FC778F"/>
  </w:style>
  <w:style w:type="character" w:customStyle="1" w:styleId="NumbListChar">
    <w:name w:val="NumbList Char"/>
    <w:link w:val="NumbList"/>
    <w:locked/>
    <w:rsid w:val="008F25D4"/>
  </w:style>
  <w:style w:type="paragraph" w:customStyle="1" w:styleId="Bullet">
    <w:name w:val="Bullet"/>
    <w:basedOn w:val="Normal"/>
    <w:rsid w:val="00FC778F"/>
    <w:pPr>
      <w:numPr>
        <w:numId w:val="3"/>
      </w:numPr>
      <w:spacing w:after="0"/>
    </w:pPr>
  </w:style>
  <w:style w:type="paragraph" w:customStyle="1" w:styleId="SubHeading">
    <w:name w:val="SubHeading"/>
    <w:basedOn w:val="Heading"/>
    <w:rsid w:val="00FC778F"/>
    <w:rPr>
      <w:sz w:val="22"/>
    </w:rPr>
  </w:style>
  <w:style w:type="paragraph" w:styleId="Header">
    <w:name w:val="header"/>
    <w:basedOn w:val="Normal"/>
    <w:link w:val="HeaderChar"/>
    <w:rsid w:val="00FC778F"/>
    <w:pPr>
      <w:tabs>
        <w:tab w:val="center" w:pos="4320"/>
        <w:tab w:val="right" w:pos="8640"/>
      </w:tabs>
    </w:pPr>
  </w:style>
  <w:style w:type="paragraph" w:styleId="Footer">
    <w:name w:val="footer"/>
    <w:basedOn w:val="Normal"/>
    <w:link w:val="FooterChar"/>
    <w:rsid w:val="00FC778F"/>
    <w:pPr>
      <w:tabs>
        <w:tab w:val="right" w:pos="9639"/>
      </w:tabs>
      <w:spacing w:after="0"/>
    </w:pPr>
    <w:rPr>
      <w:color w:val="808080"/>
      <w:sz w:val="20"/>
    </w:rPr>
  </w:style>
  <w:style w:type="character" w:customStyle="1" w:styleId="FooterChar">
    <w:name w:val="Footer Char"/>
    <w:basedOn w:val="DefaultParagraphFont"/>
    <w:link w:val="Footer"/>
    <w:rsid w:val="008F25D4"/>
    <w:rPr>
      <w:color w:val="808080"/>
      <w:sz w:val="20"/>
    </w:rPr>
  </w:style>
  <w:style w:type="paragraph" w:customStyle="1" w:styleId="BulletLast">
    <w:name w:val="BulletLast"/>
    <w:basedOn w:val="Bullet"/>
    <w:rsid w:val="00FC778F"/>
    <w:pPr>
      <w:spacing w:after="260"/>
    </w:pPr>
  </w:style>
  <w:style w:type="paragraph" w:customStyle="1" w:styleId="NumbListNoSpace">
    <w:name w:val="NumbListNoSpace"/>
    <w:basedOn w:val="NumbList"/>
    <w:rsid w:val="00FC778F"/>
    <w:pPr>
      <w:spacing w:after="0"/>
    </w:pPr>
  </w:style>
  <w:style w:type="paragraph" w:customStyle="1" w:styleId="NormalIndent">
    <w:name w:val="NormalIndent"/>
    <w:basedOn w:val="Normal"/>
    <w:rsid w:val="00FC778F"/>
    <w:pPr>
      <w:ind w:left="340"/>
    </w:pPr>
    <w:rPr>
      <w:szCs w:val="20"/>
    </w:rPr>
  </w:style>
  <w:style w:type="character" w:styleId="FollowedHyperlink">
    <w:name w:val="FollowedHyperlink"/>
    <w:basedOn w:val="DefaultParagraphFont"/>
    <w:rsid w:val="00FC778F"/>
    <w:rPr>
      <w:color w:val="800080"/>
      <w:u w:val="single"/>
    </w:rPr>
  </w:style>
  <w:style w:type="paragraph" w:styleId="ListParagraph">
    <w:name w:val="List Paragraph"/>
    <w:basedOn w:val="Normal"/>
    <w:link w:val="ListParagraphChar"/>
    <w:uiPriority w:val="34"/>
    <w:qFormat/>
    <w:rsid w:val="009D74A1"/>
    <w:pPr>
      <w:ind w:left="720"/>
      <w:contextualSpacing/>
    </w:pPr>
  </w:style>
  <w:style w:type="paragraph" w:styleId="FootnoteText">
    <w:name w:val="footnote text"/>
    <w:basedOn w:val="Normal"/>
    <w:link w:val="FootnoteTextChar"/>
    <w:rsid w:val="008F25D4"/>
    <w:rPr>
      <w:rFonts w:eastAsia="Batang"/>
      <w:sz w:val="20"/>
      <w:szCs w:val="20"/>
      <w:lang w:eastAsia="en-US"/>
    </w:rPr>
  </w:style>
  <w:style w:type="character" w:customStyle="1" w:styleId="FootnoteTextChar">
    <w:name w:val="Footnote Text Char"/>
    <w:basedOn w:val="DefaultParagraphFont"/>
    <w:link w:val="FootnoteText"/>
    <w:rsid w:val="008F25D4"/>
    <w:rPr>
      <w:rFonts w:eastAsia="Batang"/>
      <w:sz w:val="20"/>
      <w:szCs w:val="20"/>
      <w:lang w:eastAsia="en-US"/>
    </w:rPr>
  </w:style>
  <w:style w:type="character" w:styleId="FootnoteReference">
    <w:name w:val="footnote reference"/>
    <w:rsid w:val="008F25D4"/>
    <w:rPr>
      <w:vertAlign w:val="superscript"/>
    </w:rPr>
  </w:style>
  <w:style w:type="character" w:styleId="CommentReference">
    <w:name w:val="annotation reference"/>
    <w:uiPriority w:val="99"/>
    <w:rsid w:val="008F25D4"/>
    <w:rPr>
      <w:sz w:val="16"/>
      <w:szCs w:val="16"/>
    </w:rPr>
  </w:style>
  <w:style w:type="paragraph" w:styleId="CommentText">
    <w:name w:val="annotation text"/>
    <w:basedOn w:val="Normal"/>
    <w:link w:val="CommentTextChar"/>
    <w:uiPriority w:val="99"/>
    <w:rsid w:val="008F25D4"/>
    <w:rPr>
      <w:rFonts w:eastAsia="Batang"/>
      <w:sz w:val="20"/>
      <w:szCs w:val="20"/>
      <w:lang w:eastAsia="en-US"/>
    </w:rPr>
  </w:style>
  <w:style w:type="character" w:customStyle="1" w:styleId="CommentTextChar">
    <w:name w:val="Comment Text Char"/>
    <w:basedOn w:val="DefaultParagraphFont"/>
    <w:link w:val="CommentText"/>
    <w:uiPriority w:val="99"/>
    <w:rsid w:val="008F25D4"/>
    <w:rPr>
      <w:rFonts w:eastAsia="Batang"/>
      <w:sz w:val="20"/>
      <w:szCs w:val="20"/>
      <w:lang w:eastAsia="en-US"/>
    </w:rPr>
  </w:style>
  <w:style w:type="paragraph" w:styleId="BalloonText">
    <w:name w:val="Balloon Text"/>
    <w:basedOn w:val="Normal"/>
    <w:link w:val="BalloonTextChar"/>
    <w:uiPriority w:val="99"/>
    <w:rsid w:val="008F2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F25D4"/>
    <w:rPr>
      <w:rFonts w:ascii="Tahoma" w:hAnsi="Tahoma" w:cs="Tahoma"/>
      <w:sz w:val="16"/>
      <w:szCs w:val="16"/>
    </w:rPr>
  </w:style>
  <w:style w:type="character" w:styleId="Hyperlink">
    <w:name w:val="Hyperlink"/>
    <w:unhideWhenUsed/>
    <w:rsid w:val="008F25D4"/>
    <w:rPr>
      <w:color w:val="0000FF"/>
      <w:u w:val="single"/>
    </w:rPr>
  </w:style>
  <w:style w:type="paragraph" w:styleId="CommentSubject">
    <w:name w:val="annotation subject"/>
    <w:basedOn w:val="CommentText"/>
    <w:next w:val="CommentText"/>
    <w:link w:val="CommentSubjectChar"/>
    <w:rsid w:val="008F25D4"/>
    <w:rPr>
      <w:b/>
      <w:bCs/>
    </w:rPr>
  </w:style>
  <w:style w:type="character" w:customStyle="1" w:styleId="CommentSubjectChar">
    <w:name w:val="Comment Subject Char"/>
    <w:basedOn w:val="CommentTextChar"/>
    <w:link w:val="CommentSubject"/>
    <w:rsid w:val="008F25D4"/>
    <w:rPr>
      <w:rFonts w:eastAsia="Batang"/>
      <w:b/>
      <w:bCs/>
      <w:sz w:val="20"/>
      <w:szCs w:val="20"/>
      <w:lang w:eastAsia="en-US"/>
    </w:rPr>
  </w:style>
  <w:style w:type="paragraph" w:customStyle="1" w:styleId="xl902">
    <w:name w:val="xl902"/>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sz w:val="16"/>
      <w:szCs w:val="16"/>
    </w:rPr>
  </w:style>
  <w:style w:type="paragraph" w:customStyle="1" w:styleId="xl903">
    <w:name w:val="xl903"/>
    <w:basedOn w:val="Normal"/>
    <w:rsid w:val="008F25D4"/>
    <w:pPr>
      <w:spacing w:before="100" w:beforeAutospacing="1" w:after="100" w:afterAutospacing="1" w:line="240" w:lineRule="auto"/>
    </w:pPr>
    <w:rPr>
      <w:rFonts w:eastAsia="Batang"/>
      <w:sz w:val="16"/>
      <w:szCs w:val="16"/>
    </w:rPr>
  </w:style>
  <w:style w:type="paragraph" w:customStyle="1" w:styleId="xl904">
    <w:name w:val="xl904"/>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6"/>
      <w:szCs w:val="16"/>
    </w:rPr>
  </w:style>
  <w:style w:type="paragraph" w:customStyle="1" w:styleId="xl905">
    <w:name w:val="xl905"/>
    <w:basedOn w:val="Normal"/>
    <w:rsid w:val="008F25D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eastAsia="Batang"/>
      <w:sz w:val="16"/>
      <w:szCs w:val="16"/>
    </w:rPr>
  </w:style>
  <w:style w:type="paragraph" w:customStyle="1" w:styleId="xl906">
    <w:name w:val="xl906"/>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Batang"/>
      <w:sz w:val="16"/>
      <w:szCs w:val="16"/>
    </w:rPr>
  </w:style>
  <w:style w:type="paragraph" w:customStyle="1" w:styleId="xl907">
    <w:name w:val="xl907"/>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b/>
      <w:bCs/>
      <w:sz w:val="16"/>
      <w:szCs w:val="16"/>
    </w:rPr>
  </w:style>
  <w:style w:type="paragraph" w:customStyle="1" w:styleId="xl908">
    <w:name w:val="xl908"/>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eastAsia="Batang"/>
      <w:b/>
      <w:bCs/>
      <w:sz w:val="16"/>
      <w:szCs w:val="16"/>
    </w:rPr>
  </w:style>
  <w:style w:type="paragraph" w:customStyle="1" w:styleId="xl909">
    <w:name w:val="xl909"/>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sz w:val="16"/>
      <w:szCs w:val="16"/>
    </w:rPr>
  </w:style>
  <w:style w:type="paragraph" w:customStyle="1" w:styleId="xl910">
    <w:name w:val="xl910"/>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6"/>
      <w:szCs w:val="16"/>
    </w:rPr>
  </w:style>
  <w:style w:type="paragraph" w:customStyle="1" w:styleId="xl911">
    <w:name w:val="xl911"/>
    <w:basedOn w:val="Normal"/>
    <w:rsid w:val="008F25D4"/>
    <w:pPr>
      <w:spacing w:before="100" w:beforeAutospacing="1" w:after="100" w:afterAutospacing="1" w:line="240" w:lineRule="auto"/>
    </w:pPr>
    <w:rPr>
      <w:rFonts w:eastAsia="Batang"/>
      <w:sz w:val="16"/>
      <w:szCs w:val="16"/>
    </w:rPr>
  </w:style>
  <w:style w:type="paragraph" w:customStyle="1" w:styleId="xl912">
    <w:name w:val="xl912"/>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6"/>
      <w:szCs w:val="16"/>
    </w:rPr>
  </w:style>
  <w:style w:type="paragraph" w:customStyle="1" w:styleId="xl913">
    <w:name w:val="xl913"/>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6"/>
      <w:szCs w:val="16"/>
    </w:rPr>
  </w:style>
  <w:style w:type="paragraph" w:customStyle="1" w:styleId="xl914">
    <w:name w:val="xl914"/>
    <w:basedOn w:val="Normal"/>
    <w:rsid w:val="008F25D4"/>
    <w:pPr>
      <w:spacing w:before="100" w:beforeAutospacing="1" w:after="100" w:afterAutospacing="1" w:line="240" w:lineRule="auto"/>
    </w:pPr>
    <w:rPr>
      <w:rFonts w:eastAsia="Batang"/>
      <w:b/>
      <w:bCs/>
      <w:sz w:val="16"/>
      <w:szCs w:val="16"/>
    </w:rPr>
  </w:style>
  <w:style w:type="paragraph" w:customStyle="1" w:styleId="xl915">
    <w:name w:val="xl915"/>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6"/>
      <w:szCs w:val="16"/>
    </w:rPr>
  </w:style>
  <w:style w:type="paragraph" w:customStyle="1" w:styleId="xl916">
    <w:name w:val="xl916"/>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6"/>
      <w:szCs w:val="16"/>
    </w:rPr>
  </w:style>
  <w:style w:type="paragraph" w:customStyle="1" w:styleId="xl917">
    <w:name w:val="xl917"/>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6"/>
      <w:szCs w:val="16"/>
    </w:rPr>
  </w:style>
  <w:style w:type="paragraph" w:customStyle="1" w:styleId="xl918">
    <w:name w:val="xl918"/>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6"/>
      <w:szCs w:val="16"/>
    </w:rPr>
  </w:style>
  <w:style w:type="paragraph" w:customStyle="1" w:styleId="xl919">
    <w:name w:val="xl919"/>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6"/>
      <w:szCs w:val="16"/>
    </w:rPr>
  </w:style>
  <w:style w:type="paragraph" w:customStyle="1" w:styleId="xl920">
    <w:name w:val="xl920"/>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6"/>
      <w:szCs w:val="16"/>
    </w:rPr>
  </w:style>
  <w:style w:type="paragraph" w:customStyle="1" w:styleId="xl921">
    <w:name w:val="xl921"/>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6"/>
      <w:szCs w:val="16"/>
    </w:rPr>
  </w:style>
  <w:style w:type="paragraph" w:customStyle="1" w:styleId="xl922">
    <w:name w:val="xl922"/>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6"/>
      <w:szCs w:val="16"/>
    </w:rPr>
  </w:style>
  <w:style w:type="paragraph" w:customStyle="1" w:styleId="xl923">
    <w:name w:val="xl923"/>
    <w:basedOn w:val="Normal"/>
    <w:rsid w:val="008F25D4"/>
    <w:pPr>
      <w:spacing w:before="100" w:beforeAutospacing="1" w:after="100" w:afterAutospacing="1" w:line="240" w:lineRule="auto"/>
      <w:ind w:firstLineChars="100" w:firstLine="100"/>
    </w:pPr>
    <w:rPr>
      <w:rFonts w:eastAsia="Batang"/>
      <w:sz w:val="16"/>
      <w:szCs w:val="16"/>
    </w:rPr>
  </w:style>
  <w:style w:type="paragraph" w:customStyle="1" w:styleId="xl924">
    <w:name w:val="xl924"/>
    <w:basedOn w:val="Normal"/>
    <w:rsid w:val="008F25D4"/>
    <w:pPr>
      <w:spacing w:before="100" w:beforeAutospacing="1" w:after="100" w:afterAutospacing="1" w:line="240" w:lineRule="auto"/>
    </w:pPr>
    <w:rPr>
      <w:rFonts w:eastAsia="Batang"/>
      <w:sz w:val="16"/>
      <w:szCs w:val="16"/>
    </w:rPr>
  </w:style>
  <w:style w:type="paragraph" w:customStyle="1" w:styleId="xl925">
    <w:name w:val="xl925"/>
    <w:basedOn w:val="Normal"/>
    <w:rsid w:val="008F25D4"/>
    <w:pPr>
      <w:spacing w:before="100" w:beforeAutospacing="1" w:after="100" w:afterAutospacing="1" w:line="240" w:lineRule="auto"/>
    </w:pPr>
    <w:rPr>
      <w:rFonts w:eastAsia="Batang"/>
      <w:sz w:val="16"/>
      <w:szCs w:val="16"/>
    </w:rPr>
  </w:style>
  <w:style w:type="paragraph" w:customStyle="1" w:styleId="xl926">
    <w:name w:val="xl926"/>
    <w:basedOn w:val="Normal"/>
    <w:rsid w:val="008F25D4"/>
    <w:pPr>
      <w:spacing w:before="100" w:beforeAutospacing="1" w:after="100" w:afterAutospacing="1" w:line="240" w:lineRule="auto"/>
      <w:ind w:firstLineChars="100" w:firstLine="100"/>
    </w:pPr>
    <w:rPr>
      <w:rFonts w:eastAsia="Batang"/>
      <w:sz w:val="16"/>
      <w:szCs w:val="16"/>
    </w:rPr>
  </w:style>
  <w:style w:type="paragraph" w:customStyle="1" w:styleId="xl927">
    <w:name w:val="xl927"/>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eastAsia="Batang"/>
      <w:b/>
      <w:bCs/>
      <w:sz w:val="16"/>
      <w:szCs w:val="16"/>
    </w:rPr>
  </w:style>
  <w:style w:type="paragraph" w:customStyle="1" w:styleId="xl928">
    <w:name w:val="xl928"/>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Batang"/>
      <w:sz w:val="16"/>
      <w:szCs w:val="16"/>
    </w:rPr>
  </w:style>
  <w:style w:type="paragraph" w:customStyle="1" w:styleId="xl929">
    <w:name w:val="xl929"/>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6"/>
      <w:szCs w:val="16"/>
    </w:rPr>
  </w:style>
  <w:style w:type="paragraph" w:customStyle="1" w:styleId="xl930">
    <w:name w:val="xl930"/>
    <w:basedOn w:val="Normal"/>
    <w:rsid w:val="008F25D4"/>
    <w:pPr>
      <w:spacing w:before="100" w:beforeAutospacing="1" w:after="100" w:afterAutospacing="1" w:line="240" w:lineRule="auto"/>
    </w:pPr>
    <w:rPr>
      <w:rFonts w:eastAsia="Batang"/>
      <w:b/>
      <w:bCs/>
      <w:sz w:val="16"/>
      <w:szCs w:val="16"/>
    </w:rPr>
  </w:style>
  <w:style w:type="paragraph" w:customStyle="1" w:styleId="xl931">
    <w:name w:val="xl931"/>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6"/>
      <w:szCs w:val="16"/>
    </w:rPr>
  </w:style>
  <w:style w:type="paragraph" w:customStyle="1" w:styleId="xl932">
    <w:name w:val="xl932"/>
    <w:basedOn w:val="Normal"/>
    <w:rsid w:val="008F25D4"/>
    <w:pPr>
      <w:pBdr>
        <w:top w:val="single" w:sz="4" w:space="0" w:color="auto"/>
        <w:left w:val="single" w:sz="4" w:space="0" w:color="auto"/>
        <w:bottom w:val="single" w:sz="4" w:space="0" w:color="auto"/>
      </w:pBdr>
      <w:spacing w:before="100" w:beforeAutospacing="1" w:after="100" w:afterAutospacing="1" w:line="240" w:lineRule="auto"/>
      <w:jc w:val="center"/>
    </w:pPr>
    <w:rPr>
      <w:rFonts w:eastAsia="Batang"/>
      <w:b/>
      <w:bCs/>
      <w:sz w:val="16"/>
      <w:szCs w:val="16"/>
    </w:rPr>
  </w:style>
  <w:style w:type="paragraph" w:customStyle="1" w:styleId="xl933">
    <w:name w:val="xl933"/>
    <w:basedOn w:val="Normal"/>
    <w:rsid w:val="008F25D4"/>
    <w:pPr>
      <w:pBdr>
        <w:top w:val="single" w:sz="4" w:space="0" w:color="auto"/>
        <w:bottom w:val="single" w:sz="4" w:space="0" w:color="auto"/>
      </w:pBdr>
      <w:spacing w:before="100" w:beforeAutospacing="1" w:after="100" w:afterAutospacing="1" w:line="240" w:lineRule="auto"/>
      <w:jc w:val="center"/>
    </w:pPr>
    <w:rPr>
      <w:rFonts w:eastAsia="Batang"/>
      <w:b/>
      <w:bCs/>
      <w:sz w:val="16"/>
      <w:szCs w:val="16"/>
    </w:rPr>
  </w:style>
  <w:style w:type="paragraph" w:customStyle="1" w:styleId="xl934">
    <w:name w:val="xl934"/>
    <w:basedOn w:val="Normal"/>
    <w:rsid w:val="008F25D4"/>
    <w:pPr>
      <w:pBdr>
        <w:top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6"/>
      <w:szCs w:val="16"/>
    </w:rPr>
  </w:style>
  <w:style w:type="paragraph" w:customStyle="1" w:styleId="xl47215">
    <w:name w:val="xl47215"/>
    <w:basedOn w:val="Normal"/>
    <w:rsid w:val="008F25D4"/>
    <w:pPr>
      <w:spacing w:before="100" w:beforeAutospacing="1" w:after="100" w:afterAutospacing="1" w:line="240" w:lineRule="auto"/>
    </w:pPr>
    <w:rPr>
      <w:rFonts w:eastAsia="Batang"/>
      <w:sz w:val="16"/>
      <w:szCs w:val="16"/>
    </w:rPr>
  </w:style>
  <w:style w:type="paragraph" w:customStyle="1" w:styleId="xl47216">
    <w:name w:val="xl47216"/>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6"/>
      <w:szCs w:val="16"/>
    </w:rPr>
  </w:style>
  <w:style w:type="paragraph" w:customStyle="1" w:styleId="xl47217">
    <w:name w:val="xl47217"/>
    <w:basedOn w:val="Normal"/>
    <w:rsid w:val="008F25D4"/>
    <w:pPr>
      <w:spacing w:before="100" w:beforeAutospacing="1" w:after="100" w:afterAutospacing="1" w:line="240" w:lineRule="auto"/>
    </w:pPr>
    <w:rPr>
      <w:rFonts w:eastAsia="Batang"/>
      <w:sz w:val="16"/>
      <w:szCs w:val="16"/>
    </w:rPr>
  </w:style>
  <w:style w:type="paragraph" w:customStyle="1" w:styleId="xl47218">
    <w:name w:val="xl47218"/>
    <w:basedOn w:val="Normal"/>
    <w:rsid w:val="008F25D4"/>
    <w:pPr>
      <w:spacing w:before="100" w:beforeAutospacing="1" w:after="100" w:afterAutospacing="1" w:line="240" w:lineRule="auto"/>
    </w:pPr>
    <w:rPr>
      <w:rFonts w:eastAsia="Batang"/>
      <w:b/>
      <w:bCs/>
      <w:sz w:val="16"/>
      <w:szCs w:val="16"/>
    </w:rPr>
  </w:style>
  <w:style w:type="paragraph" w:customStyle="1" w:styleId="xl47219">
    <w:name w:val="xl47219"/>
    <w:basedOn w:val="Normal"/>
    <w:rsid w:val="008F25D4"/>
    <w:pPr>
      <w:spacing w:before="100" w:beforeAutospacing="1" w:after="100" w:afterAutospacing="1" w:line="240" w:lineRule="auto"/>
    </w:pPr>
    <w:rPr>
      <w:rFonts w:eastAsia="Batang"/>
      <w:sz w:val="16"/>
      <w:szCs w:val="16"/>
    </w:rPr>
  </w:style>
  <w:style w:type="paragraph" w:customStyle="1" w:styleId="xl47220">
    <w:name w:val="xl47220"/>
    <w:basedOn w:val="Normal"/>
    <w:rsid w:val="008F25D4"/>
    <w:pPr>
      <w:spacing w:before="100" w:beforeAutospacing="1" w:after="100" w:afterAutospacing="1" w:line="240" w:lineRule="auto"/>
    </w:pPr>
    <w:rPr>
      <w:rFonts w:eastAsia="Batang"/>
      <w:b/>
      <w:bCs/>
      <w:sz w:val="16"/>
      <w:szCs w:val="16"/>
    </w:rPr>
  </w:style>
  <w:style w:type="paragraph" w:customStyle="1" w:styleId="xl47221">
    <w:name w:val="xl47221"/>
    <w:basedOn w:val="Normal"/>
    <w:rsid w:val="008F25D4"/>
    <w:pPr>
      <w:spacing w:before="100" w:beforeAutospacing="1" w:after="100" w:afterAutospacing="1" w:line="240" w:lineRule="auto"/>
    </w:pPr>
    <w:rPr>
      <w:rFonts w:eastAsia="Batang"/>
      <w:sz w:val="16"/>
      <w:szCs w:val="16"/>
    </w:rPr>
  </w:style>
  <w:style w:type="paragraph" w:customStyle="1" w:styleId="xl47222">
    <w:name w:val="xl47222"/>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8"/>
      <w:szCs w:val="18"/>
    </w:rPr>
  </w:style>
  <w:style w:type="paragraph" w:customStyle="1" w:styleId="xl47223">
    <w:name w:val="xl47223"/>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47224">
    <w:name w:val="xl47224"/>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8"/>
      <w:szCs w:val="18"/>
    </w:rPr>
  </w:style>
  <w:style w:type="paragraph" w:customStyle="1" w:styleId="xl47225">
    <w:name w:val="xl47225"/>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8"/>
      <w:szCs w:val="18"/>
    </w:rPr>
  </w:style>
  <w:style w:type="paragraph" w:customStyle="1" w:styleId="xl47226">
    <w:name w:val="xl47226"/>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8"/>
      <w:szCs w:val="18"/>
    </w:rPr>
  </w:style>
  <w:style w:type="paragraph" w:customStyle="1" w:styleId="xl47227">
    <w:name w:val="xl47227"/>
    <w:basedOn w:val="Normal"/>
    <w:rsid w:val="008F25D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eastAsia="Batang"/>
      <w:sz w:val="18"/>
      <w:szCs w:val="18"/>
    </w:rPr>
  </w:style>
  <w:style w:type="paragraph" w:customStyle="1" w:styleId="xl47228">
    <w:name w:val="xl47228"/>
    <w:basedOn w:val="Normal"/>
    <w:rsid w:val="008F25D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eastAsia="Batang"/>
      <w:sz w:val="18"/>
      <w:szCs w:val="18"/>
    </w:rPr>
  </w:style>
  <w:style w:type="paragraph" w:customStyle="1" w:styleId="xl47229">
    <w:name w:val="xl47229"/>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sz w:val="18"/>
      <w:szCs w:val="18"/>
    </w:rPr>
  </w:style>
  <w:style w:type="paragraph" w:customStyle="1" w:styleId="xl47230">
    <w:name w:val="xl47230"/>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sz w:val="18"/>
      <w:szCs w:val="18"/>
    </w:rPr>
  </w:style>
  <w:style w:type="paragraph" w:customStyle="1" w:styleId="xl47231">
    <w:name w:val="xl47231"/>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8"/>
      <w:szCs w:val="18"/>
    </w:rPr>
  </w:style>
  <w:style w:type="paragraph" w:customStyle="1" w:styleId="xl47232">
    <w:name w:val="xl47232"/>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18"/>
      <w:szCs w:val="18"/>
    </w:rPr>
  </w:style>
  <w:style w:type="paragraph" w:customStyle="1" w:styleId="xl47233">
    <w:name w:val="xl47233"/>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18"/>
      <w:szCs w:val="18"/>
    </w:rPr>
  </w:style>
  <w:style w:type="paragraph" w:customStyle="1" w:styleId="xl47234">
    <w:name w:val="xl47234"/>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eastAsia="Batang"/>
      <w:sz w:val="18"/>
      <w:szCs w:val="18"/>
    </w:rPr>
  </w:style>
  <w:style w:type="paragraph" w:customStyle="1" w:styleId="xl47235">
    <w:name w:val="xl47235"/>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eastAsia="Batang"/>
      <w:sz w:val="18"/>
      <w:szCs w:val="18"/>
    </w:rPr>
  </w:style>
  <w:style w:type="paragraph" w:customStyle="1" w:styleId="xl47236">
    <w:name w:val="xl47236"/>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18"/>
      <w:szCs w:val="18"/>
    </w:rPr>
  </w:style>
  <w:style w:type="paragraph" w:customStyle="1" w:styleId="xl47237">
    <w:name w:val="xl47237"/>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18"/>
      <w:szCs w:val="18"/>
    </w:rPr>
  </w:style>
  <w:style w:type="paragraph" w:customStyle="1" w:styleId="xl47238">
    <w:name w:val="xl47238"/>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eastAsia="Batang"/>
      <w:sz w:val="18"/>
      <w:szCs w:val="18"/>
    </w:rPr>
  </w:style>
  <w:style w:type="paragraph" w:customStyle="1" w:styleId="xl47239">
    <w:name w:val="xl47239"/>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eastAsia="Batang"/>
      <w:sz w:val="18"/>
      <w:szCs w:val="18"/>
    </w:rPr>
  </w:style>
  <w:style w:type="paragraph" w:customStyle="1" w:styleId="xl47240">
    <w:name w:val="xl47240"/>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6"/>
      <w:szCs w:val="16"/>
    </w:rPr>
  </w:style>
  <w:style w:type="paragraph" w:customStyle="1" w:styleId="xl47241">
    <w:name w:val="xl47241"/>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6"/>
      <w:szCs w:val="16"/>
    </w:rPr>
  </w:style>
  <w:style w:type="paragraph" w:customStyle="1" w:styleId="xl47242">
    <w:name w:val="xl47242"/>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6"/>
      <w:szCs w:val="16"/>
    </w:rPr>
  </w:style>
  <w:style w:type="paragraph" w:customStyle="1" w:styleId="xl47243">
    <w:name w:val="xl47243"/>
    <w:basedOn w:val="Normal"/>
    <w:rsid w:val="008F25D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47244">
    <w:name w:val="xl47244"/>
    <w:basedOn w:val="Normal"/>
    <w:rsid w:val="008F25D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47245">
    <w:name w:val="xl47245"/>
    <w:basedOn w:val="Normal"/>
    <w:rsid w:val="008F25D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47246">
    <w:name w:val="xl47246"/>
    <w:basedOn w:val="Normal"/>
    <w:rsid w:val="008F25D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62524">
    <w:name w:val="xl62524"/>
    <w:basedOn w:val="Normal"/>
    <w:rsid w:val="008F25D4"/>
    <w:pPr>
      <w:spacing w:before="100" w:beforeAutospacing="1" w:after="100" w:afterAutospacing="1" w:line="240" w:lineRule="auto"/>
    </w:pPr>
    <w:rPr>
      <w:rFonts w:eastAsia="Batang"/>
      <w:sz w:val="18"/>
      <w:szCs w:val="18"/>
    </w:rPr>
  </w:style>
  <w:style w:type="paragraph" w:customStyle="1" w:styleId="xl62525">
    <w:name w:val="xl62525"/>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8"/>
      <w:szCs w:val="18"/>
    </w:rPr>
  </w:style>
  <w:style w:type="paragraph" w:customStyle="1" w:styleId="xl62526">
    <w:name w:val="xl62526"/>
    <w:basedOn w:val="Normal"/>
    <w:rsid w:val="008F25D4"/>
    <w:pPr>
      <w:spacing w:before="100" w:beforeAutospacing="1" w:after="100" w:afterAutospacing="1" w:line="240" w:lineRule="auto"/>
    </w:pPr>
    <w:rPr>
      <w:rFonts w:eastAsia="Batang"/>
      <w:sz w:val="18"/>
      <w:szCs w:val="18"/>
    </w:rPr>
  </w:style>
  <w:style w:type="paragraph" w:customStyle="1" w:styleId="xl62527">
    <w:name w:val="xl62527"/>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8"/>
      <w:szCs w:val="18"/>
    </w:rPr>
  </w:style>
  <w:style w:type="paragraph" w:customStyle="1" w:styleId="xl62528">
    <w:name w:val="xl62528"/>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62529">
    <w:name w:val="xl62529"/>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62530">
    <w:name w:val="xl62530"/>
    <w:basedOn w:val="Normal"/>
    <w:rsid w:val="008F25D4"/>
    <w:pPr>
      <w:spacing w:before="100" w:beforeAutospacing="1" w:after="100" w:afterAutospacing="1" w:line="240" w:lineRule="auto"/>
    </w:pPr>
    <w:rPr>
      <w:rFonts w:eastAsia="Batang"/>
      <w:b/>
      <w:bCs/>
      <w:sz w:val="18"/>
      <w:szCs w:val="18"/>
    </w:rPr>
  </w:style>
  <w:style w:type="paragraph" w:customStyle="1" w:styleId="xl62531">
    <w:name w:val="xl62531"/>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8"/>
      <w:szCs w:val="18"/>
    </w:rPr>
  </w:style>
  <w:style w:type="paragraph" w:customStyle="1" w:styleId="xl62532">
    <w:name w:val="xl62532"/>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8"/>
      <w:szCs w:val="18"/>
    </w:rPr>
  </w:style>
  <w:style w:type="paragraph" w:customStyle="1" w:styleId="xl62533">
    <w:name w:val="xl62533"/>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8"/>
      <w:szCs w:val="18"/>
    </w:rPr>
  </w:style>
  <w:style w:type="paragraph" w:customStyle="1" w:styleId="xl62534">
    <w:name w:val="xl62534"/>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8"/>
      <w:szCs w:val="18"/>
    </w:rPr>
  </w:style>
  <w:style w:type="paragraph" w:customStyle="1" w:styleId="xl62535">
    <w:name w:val="xl62535"/>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8"/>
      <w:szCs w:val="18"/>
    </w:rPr>
  </w:style>
  <w:style w:type="paragraph" w:customStyle="1" w:styleId="xl62536">
    <w:name w:val="xl62536"/>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8"/>
      <w:szCs w:val="18"/>
    </w:rPr>
  </w:style>
  <w:style w:type="paragraph" w:customStyle="1" w:styleId="xl62537">
    <w:name w:val="xl62537"/>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8"/>
      <w:szCs w:val="18"/>
    </w:rPr>
  </w:style>
  <w:style w:type="paragraph" w:customStyle="1" w:styleId="xl62538">
    <w:name w:val="xl62538"/>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eastAsia="Batang"/>
      <w:sz w:val="18"/>
      <w:szCs w:val="18"/>
    </w:rPr>
  </w:style>
  <w:style w:type="paragraph" w:customStyle="1" w:styleId="xl62539">
    <w:name w:val="xl62539"/>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eastAsia="Batang"/>
      <w:sz w:val="18"/>
      <w:szCs w:val="18"/>
    </w:rPr>
  </w:style>
  <w:style w:type="paragraph" w:customStyle="1" w:styleId="xl62540">
    <w:name w:val="xl62540"/>
    <w:basedOn w:val="Normal"/>
    <w:rsid w:val="008F25D4"/>
    <w:pPr>
      <w:spacing w:before="100" w:beforeAutospacing="1" w:after="100" w:afterAutospacing="1" w:line="240" w:lineRule="auto"/>
    </w:pPr>
    <w:rPr>
      <w:rFonts w:eastAsia="Batang"/>
      <w:b/>
      <w:bCs/>
      <w:sz w:val="18"/>
      <w:szCs w:val="18"/>
    </w:rPr>
  </w:style>
  <w:style w:type="paragraph" w:customStyle="1" w:styleId="xl62541">
    <w:name w:val="xl62541"/>
    <w:basedOn w:val="Normal"/>
    <w:rsid w:val="008F25D4"/>
    <w:pPr>
      <w:spacing w:before="100" w:beforeAutospacing="1" w:after="100" w:afterAutospacing="1" w:line="240" w:lineRule="auto"/>
    </w:pPr>
    <w:rPr>
      <w:rFonts w:eastAsia="Batang"/>
      <w:sz w:val="18"/>
      <w:szCs w:val="18"/>
    </w:rPr>
  </w:style>
  <w:style w:type="paragraph" w:customStyle="1" w:styleId="xl62542">
    <w:name w:val="xl62542"/>
    <w:basedOn w:val="Normal"/>
    <w:rsid w:val="008F25D4"/>
    <w:pPr>
      <w:spacing w:before="100" w:beforeAutospacing="1" w:after="100" w:afterAutospacing="1" w:line="240" w:lineRule="auto"/>
    </w:pPr>
    <w:rPr>
      <w:rFonts w:eastAsia="Batang"/>
      <w:sz w:val="18"/>
      <w:szCs w:val="18"/>
    </w:rPr>
  </w:style>
  <w:style w:type="paragraph" w:customStyle="1" w:styleId="xl62543">
    <w:name w:val="xl62543"/>
    <w:basedOn w:val="Normal"/>
    <w:rsid w:val="008F25D4"/>
    <w:pPr>
      <w:spacing w:before="100" w:beforeAutospacing="1" w:after="100" w:afterAutospacing="1" w:line="240" w:lineRule="auto"/>
    </w:pPr>
    <w:rPr>
      <w:rFonts w:eastAsia="Batang"/>
      <w:sz w:val="18"/>
      <w:szCs w:val="18"/>
    </w:rPr>
  </w:style>
  <w:style w:type="paragraph" w:customStyle="1" w:styleId="xl62544">
    <w:name w:val="xl62544"/>
    <w:basedOn w:val="Normal"/>
    <w:rsid w:val="008F25D4"/>
    <w:pPr>
      <w:spacing w:before="100" w:beforeAutospacing="1" w:after="100" w:afterAutospacing="1" w:line="240" w:lineRule="auto"/>
    </w:pPr>
    <w:rPr>
      <w:rFonts w:eastAsia="Batang"/>
      <w:b/>
      <w:bCs/>
      <w:sz w:val="18"/>
      <w:szCs w:val="18"/>
    </w:rPr>
  </w:style>
  <w:style w:type="paragraph" w:customStyle="1" w:styleId="xl62545">
    <w:name w:val="xl62545"/>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8"/>
      <w:szCs w:val="18"/>
    </w:rPr>
  </w:style>
  <w:style w:type="paragraph" w:customStyle="1" w:styleId="xl62546">
    <w:name w:val="xl62546"/>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eastAsia="Batang"/>
      <w:b/>
      <w:bCs/>
      <w:sz w:val="18"/>
      <w:szCs w:val="18"/>
    </w:rPr>
  </w:style>
  <w:style w:type="paragraph" w:customStyle="1" w:styleId="xl62547">
    <w:name w:val="xl62547"/>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eastAsia="Batang"/>
      <w:sz w:val="18"/>
      <w:szCs w:val="18"/>
    </w:rPr>
  </w:style>
  <w:style w:type="paragraph" w:customStyle="1" w:styleId="xl62548">
    <w:name w:val="xl62548"/>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eastAsia="Batang"/>
      <w:sz w:val="18"/>
      <w:szCs w:val="18"/>
    </w:rPr>
  </w:style>
  <w:style w:type="paragraph" w:customStyle="1" w:styleId="xl62549">
    <w:name w:val="xl62549"/>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18"/>
      <w:szCs w:val="18"/>
    </w:rPr>
  </w:style>
  <w:style w:type="paragraph" w:customStyle="1" w:styleId="xl62550">
    <w:name w:val="xl62550"/>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18"/>
      <w:szCs w:val="18"/>
    </w:rPr>
  </w:style>
  <w:style w:type="paragraph" w:customStyle="1" w:styleId="xl62551">
    <w:name w:val="xl62551"/>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18"/>
      <w:szCs w:val="18"/>
    </w:rPr>
  </w:style>
  <w:style w:type="paragraph" w:customStyle="1" w:styleId="xl62552">
    <w:name w:val="xl62552"/>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b/>
      <w:bCs/>
      <w:sz w:val="18"/>
      <w:szCs w:val="18"/>
    </w:rPr>
  </w:style>
  <w:style w:type="paragraph" w:customStyle="1" w:styleId="xl62553">
    <w:name w:val="xl62553"/>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18"/>
      <w:szCs w:val="18"/>
    </w:rPr>
  </w:style>
  <w:style w:type="paragraph" w:customStyle="1" w:styleId="xl62554">
    <w:name w:val="xl62554"/>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eastAsia="Batang"/>
      <w:sz w:val="18"/>
      <w:szCs w:val="18"/>
    </w:rPr>
  </w:style>
  <w:style w:type="paragraph" w:customStyle="1" w:styleId="xl62555">
    <w:name w:val="xl62555"/>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eastAsia="Batang"/>
      <w:sz w:val="18"/>
      <w:szCs w:val="18"/>
    </w:rPr>
  </w:style>
  <w:style w:type="paragraph" w:customStyle="1" w:styleId="xl62556">
    <w:name w:val="xl62556"/>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eastAsia="Batang"/>
      <w:sz w:val="18"/>
      <w:szCs w:val="18"/>
    </w:rPr>
  </w:style>
  <w:style w:type="paragraph" w:customStyle="1" w:styleId="xl62557">
    <w:name w:val="xl62557"/>
    <w:basedOn w:val="Normal"/>
    <w:rsid w:val="008F25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Batang"/>
      <w:b/>
      <w:bCs/>
      <w:sz w:val="18"/>
      <w:szCs w:val="18"/>
    </w:rPr>
  </w:style>
  <w:style w:type="paragraph" w:customStyle="1" w:styleId="xl62558">
    <w:name w:val="xl62558"/>
    <w:basedOn w:val="Normal"/>
    <w:rsid w:val="008F25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b/>
      <w:bCs/>
      <w:sz w:val="18"/>
      <w:szCs w:val="18"/>
    </w:rPr>
  </w:style>
  <w:style w:type="paragraph" w:customStyle="1" w:styleId="xl62559">
    <w:name w:val="xl62559"/>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8"/>
      <w:szCs w:val="18"/>
    </w:rPr>
  </w:style>
  <w:style w:type="paragraph" w:customStyle="1" w:styleId="xl62560">
    <w:name w:val="xl62560"/>
    <w:basedOn w:val="Normal"/>
    <w:rsid w:val="008F25D4"/>
    <w:pPr>
      <w:pBdr>
        <w:top w:val="single" w:sz="4" w:space="0" w:color="auto"/>
        <w:left w:val="single" w:sz="4" w:space="0" w:color="auto"/>
        <w:bottom w:val="single" w:sz="4" w:space="0" w:color="auto"/>
      </w:pBdr>
      <w:spacing w:before="100" w:beforeAutospacing="1" w:after="100" w:afterAutospacing="1" w:line="240" w:lineRule="auto"/>
      <w:jc w:val="center"/>
    </w:pPr>
    <w:rPr>
      <w:rFonts w:eastAsia="Batang"/>
      <w:b/>
      <w:bCs/>
      <w:sz w:val="18"/>
      <w:szCs w:val="18"/>
    </w:rPr>
  </w:style>
  <w:style w:type="paragraph" w:customStyle="1" w:styleId="xl62561">
    <w:name w:val="xl62561"/>
    <w:basedOn w:val="Normal"/>
    <w:rsid w:val="008F25D4"/>
    <w:pPr>
      <w:pBdr>
        <w:top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8"/>
      <w:szCs w:val="18"/>
    </w:rPr>
  </w:style>
  <w:style w:type="paragraph" w:customStyle="1" w:styleId="xl62562">
    <w:name w:val="xl62562"/>
    <w:basedOn w:val="Normal"/>
    <w:rsid w:val="008F25D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62563">
    <w:name w:val="xl62563"/>
    <w:basedOn w:val="Normal"/>
    <w:rsid w:val="008F25D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62564">
    <w:name w:val="xl62564"/>
    <w:basedOn w:val="Normal"/>
    <w:rsid w:val="008F25D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62565">
    <w:name w:val="xl62565"/>
    <w:basedOn w:val="Normal"/>
    <w:rsid w:val="008F25D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62566">
    <w:name w:val="xl62566"/>
    <w:basedOn w:val="Normal"/>
    <w:rsid w:val="008F25D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8"/>
      <w:szCs w:val="18"/>
    </w:rPr>
  </w:style>
  <w:style w:type="table" w:customStyle="1" w:styleId="TableGrid1">
    <w:name w:val="Table Grid1"/>
    <w:basedOn w:val="TableNormal"/>
    <w:next w:val="TableGrid"/>
    <w:uiPriority w:val="59"/>
    <w:rsid w:val="008F25D4"/>
    <w:pPr>
      <w:spacing w:after="240"/>
    </w:pPr>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F25D4"/>
    <w:pPr>
      <w:spacing w:after="270" w:line="270" w:lineRule="atLeast"/>
    </w:pPr>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8F25D4"/>
    <w:pPr>
      <w:spacing w:after="260" w:line="260" w:lineRule="atLeast"/>
    </w:pPr>
    <w:rPr>
      <w:rFonts w:ascii="Times New Roman" w:eastAsia="Batang" w:hAnsi="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
    <w:name w:val="Table Grid3"/>
    <w:basedOn w:val="TableNormal"/>
    <w:next w:val="TableGrid"/>
    <w:uiPriority w:val="59"/>
    <w:rsid w:val="008F25D4"/>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25D4"/>
    <w:pPr>
      <w:spacing w:after="150" w:line="240" w:lineRule="auto"/>
      <w:ind w:right="150"/>
    </w:pPr>
    <w:rPr>
      <w:rFonts w:ascii="Times New Roman" w:eastAsia="Batang" w:hAnsi="Times New Roman"/>
    </w:rPr>
  </w:style>
  <w:style w:type="table" w:customStyle="1" w:styleId="TableGrid4">
    <w:name w:val="Table Grid4"/>
    <w:basedOn w:val="TableNormal"/>
    <w:next w:val="TableGrid"/>
    <w:uiPriority w:val="59"/>
    <w:rsid w:val="008F25D4"/>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25D4"/>
  </w:style>
  <w:style w:type="paragraph" w:customStyle="1" w:styleId="Default">
    <w:name w:val="Default"/>
    <w:rsid w:val="001F4772"/>
    <w:pPr>
      <w:autoSpaceDE w:val="0"/>
      <w:autoSpaceDN w:val="0"/>
      <w:adjustRightInd w:val="0"/>
    </w:pPr>
    <w:rPr>
      <w:rFonts w:eastAsiaTheme="minorHAnsi" w:cs="Foundry Sans"/>
      <w:color w:val="000000"/>
      <w:lang w:eastAsia="en-US"/>
    </w:rPr>
  </w:style>
  <w:style w:type="paragraph" w:styleId="NoSpacing">
    <w:name w:val="No Spacing"/>
    <w:uiPriority w:val="1"/>
    <w:qFormat/>
    <w:rsid w:val="00437219"/>
    <w:rPr>
      <w:rFonts w:eastAsiaTheme="minorHAnsi" w:cstheme="minorBidi"/>
      <w:sz w:val="22"/>
      <w:szCs w:val="22"/>
      <w:lang w:eastAsia="en-US"/>
    </w:rPr>
  </w:style>
  <w:style w:type="character" w:customStyle="1" w:styleId="ListParagraphChar">
    <w:name w:val="List Paragraph Char"/>
    <w:basedOn w:val="DefaultParagraphFont"/>
    <w:link w:val="ListParagraph"/>
    <w:uiPriority w:val="34"/>
    <w:rsid w:val="00F72076"/>
  </w:style>
  <w:style w:type="table" w:customStyle="1" w:styleId="TableGrid5">
    <w:name w:val="Table Grid5"/>
    <w:basedOn w:val="TableNormal"/>
    <w:next w:val="TableGrid"/>
    <w:rsid w:val="00E75ADE"/>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75ADE"/>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ADE"/>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75ADE"/>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75ADE"/>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uiPriority w:val="99"/>
    <w:rsid w:val="00BA273C"/>
    <w:pPr>
      <w:numPr>
        <w:numId w:val="63"/>
      </w:numPr>
      <w:spacing w:after="0" w:line="280" w:lineRule="atLeast"/>
    </w:pPr>
    <w:rPr>
      <w:sz w:val="22"/>
      <w:lang w:eastAsia="en-US"/>
    </w:rPr>
  </w:style>
  <w:style w:type="numbering" w:customStyle="1" w:styleId="NoList1">
    <w:name w:val="No List1"/>
    <w:next w:val="NoList"/>
    <w:uiPriority w:val="99"/>
    <w:semiHidden/>
    <w:unhideWhenUsed/>
    <w:rsid w:val="00114559"/>
  </w:style>
  <w:style w:type="table" w:customStyle="1" w:styleId="TableGrid10">
    <w:name w:val="Table Grid10"/>
    <w:basedOn w:val="TableNormal"/>
    <w:next w:val="TableGrid"/>
    <w:rsid w:val="00114559"/>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14559"/>
  </w:style>
  <w:style w:type="character" w:customStyle="1" w:styleId="HeaderChar">
    <w:name w:val="Header Char"/>
    <w:basedOn w:val="DefaultParagraphFont"/>
    <w:link w:val="Header"/>
    <w:rsid w:val="00114559"/>
  </w:style>
  <w:style w:type="paragraph" w:customStyle="1" w:styleId="numblist0">
    <w:name w:val="numblist"/>
    <w:basedOn w:val="Normal"/>
    <w:rsid w:val="00114559"/>
    <w:pPr>
      <w:ind w:left="340" w:hanging="340"/>
    </w:pPr>
    <w:rPr>
      <w:rFonts w:ascii="Times New Roman" w:eastAsiaTheme="minorHAnsi" w:hAnsi="Times New Roman"/>
    </w:rPr>
  </w:style>
  <w:style w:type="numbering" w:customStyle="1" w:styleId="NoList2">
    <w:name w:val="No List2"/>
    <w:next w:val="NoList"/>
    <w:uiPriority w:val="99"/>
    <w:semiHidden/>
    <w:unhideWhenUsed/>
    <w:rsid w:val="00237C16"/>
  </w:style>
  <w:style w:type="table" w:customStyle="1" w:styleId="TableGrid11">
    <w:name w:val="Table Grid11"/>
    <w:basedOn w:val="TableNormal"/>
    <w:next w:val="TableGrid"/>
    <w:rsid w:val="00237C16"/>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37C16"/>
  </w:style>
  <w:style w:type="table" w:customStyle="1" w:styleId="TableGrid12">
    <w:name w:val="Table Grid12"/>
    <w:basedOn w:val="TableNormal"/>
    <w:rsid w:val="00134207"/>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oundry Sans" w:eastAsia="Times New Roman" w:hAnsi="Foundry Sans" w:cs="Times New Roman"/>
        <w:sz w:val="24"/>
        <w:szCs w:val="24"/>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78F"/>
    <w:pPr>
      <w:spacing w:after="260" w:line="260" w:lineRule="atLeas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778F"/>
    <w:pPr>
      <w:spacing w:after="27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fo">
    <w:name w:val="TitleInfo"/>
    <w:basedOn w:val="Normal"/>
    <w:rsid w:val="00FC778F"/>
    <w:pPr>
      <w:spacing w:after="80" w:line="300" w:lineRule="atLeast"/>
    </w:pPr>
    <w:rPr>
      <w:sz w:val="18"/>
    </w:rPr>
  </w:style>
  <w:style w:type="paragraph" w:customStyle="1" w:styleId="TitleHeading">
    <w:name w:val="TitleHeading"/>
    <w:basedOn w:val="Normal"/>
    <w:rsid w:val="00FC778F"/>
    <w:pPr>
      <w:spacing w:before="20" w:after="0" w:line="420" w:lineRule="atLeast"/>
    </w:pPr>
    <w:rPr>
      <w:b/>
      <w:sz w:val="34"/>
    </w:rPr>
  </w:style>
  <w:style w:type="paragraph" w:customStyle="1" w:styleId="TitleNo">
    <w:name w:val="TitleNo"/>
    <w:basedOn w:val="Normal"/>
    <w:rsid w:val="00FC778F"/>
    <w:pPr>
      <w:spacing w:after="0" w:line="840" w:lineRule="atLeast"/>
      <w:jc w:val="right"/>
    </w:pPr>
    <w:rPr>
      <w:b/>
      <w:sz w:val="90"/>
    </w:rPr>
  </w:style>
  <w:style w:type="paragraph" w:customStyle="1" w:styleId="TitleMeeting">
    <w:name w:val="TitleMeeting"/>
    <w:basedOn w:val="Normal"/>
    <w:rsid w:val="00FC778F"/>
    <w:pPr>
      <w:spacing w:after="0" w:line="310" w:lineRule="atLeast"/>
    </w:pPr>
    <w:rPr>
      <w:sz w:val="26"/>
    </w:rPr>
  </w:style>
  <w:style w:type="paragraph" w:customStyle="1" w:styleId="TitleText">
    <w:name w:val="TitleText"/>
    <w:basedOn w:val="Normal"/>
    <w:rsid w:val="00FC778F"/>
    <w:pPr>
      <w:spacing w:after="0"/>
    </w:pPr>
  </w:style>
  <w:style w:type="paragraph" w:customStyle="1" w:styleId="TitleTextSm">
    <w:name w:val="TitleTextSm"/>
    <w:basedOn w:val="Normal"/>
    <w:rsid w:val="00FC778F"/>
    <w:pPr>
      <w:spacing w:after="120" w:line="240" w:lineRule="atLeast"/>
    </w:pPr>
    <w:rPr>
      <w:sz w:val="18"/>
    </w:rPr>
  </w:style>
  <w:style w:type="paragraph" w:customStyle="1" w:styleId="NormalSm">
    <w:name w:val="NormalSm"/>
    <w:basedOn w:val="Normal"/>
    <w:uiPriority w:val="99"/>
    <w:rsid w:val="00FC778F"/>
  </w:style>
  <w:style w:type="paragraph" w:customStyle="1" w:styleId="HeadingSm">
    <w:name w:val="HeadingSm"/>
    <w:basedOn w:val="NormalSm"/>
    <w:next w:val="NormalSm"/>
    <w:rsid w:val="00FC778F"/>
    <w:pPr>
      <w:keepNext/>
      <w:spacing w:after="0"/>
    </w:pPr>
    <w:rPr>
      <w:b/>
    </w:rPr>
  </w:style>
  <w:style w:type="paragraph" w:customStyle="1" w:styleId="Heading">
    <w:name w:val="Heading"/>
    <w:basedOn w:val="Normal"/>
    <w:next w:val="Normal"/>
    <w:rsid w:val="00FC778F"/>
    <w:pPr>
      <w:keepNext/>
      <w:spacing w:after="0"/>
    </w:pPr>
    <w:rPr>
      <w:b/>
      <w:sz w:val="26"/>
    </w:rPr>
  </w:style>
  <w:style w:type="paragraph" w:customStyle="1" w:styleId="NormalSmNoSpace">
    <w:name w:val="NormalSmNoSpace"/>
    <w:basedOn w:val="NormalSm"/>
    <w:rsid w:val="00FC778F"/>
    <w:pPr>
      <w:spacing w:after="0"/>
    </w:pPr>
  </w:style>
  <w:style w:type="paragraph" w:customStyle="1" w:styleId="NormalNoSpace">
    <w:name w:val="NormalNoSpace"/>
    <w:basedOn w:val="Normal"/>
    <w:rsid w:val="00FC778F"/>
    <w:pPr>
      <w:spacing w:after="0"/>
    </w:pPr>
  </w:style>
  <w:style w:type="paragraph" w:customStyle="1" w:styleId="NumbList">
    <w:name w:val="NumbList"/>
    <w:basedOn w:val="Normal"/>
    <w:link w:val="NumbListChar"/>
    <w:rsid w:val="00FC778F"/>
  </w:style>
  <w:style w:type="character" w:customStyle="1" w:styleId="NumbListChar">
    <w:name w:val="NumbList Char"/>
    <w:link w:val="NumbList"/>
    <w:locked/>
    <w:rsid w:val="008F25D4"/>
  </w:style>
  <w:style w:type="paragraph" w:customStyle="1" w:styleId="Bullet">
    <w:name w:val="Bullet"/>
    <w:basedOn w:val="Normal"/>
    <w:rsid w:val="00FC778F"/>
    <w:pPr>
      <w:numPr>
        <w:numId w:val="3"/>
      </w:numPr>
      <w:spacing w:after="0"/>
    </w:pPr>
  </w:style>
  <w:style w:type="paragraph" w:customStyle="1" w:styleId="SubHeading">
    <w:name w:val="SubHeading"/>
    <w:basedOn w:val="Heading"/>
    <w:rsid w:val="00FC778F"/>
    <w:rPr>
      <w:sz w:val="22"/>
    </w:rPr>
  </w:style>
  <w:style w:type="paragraph" w:styleId="Header">
    <w:name w:val="header"/>
    <w:basedOn w:val="Normal"/>
    <w:link w:val="HeaderChar"/>
    <w:rsid w:val="00FC778F"/>
    <w:pPr>
      <w:tabs>
        <w:tab w:val="center" w:pos="4320"/>
        <w:tab w:val="right" w:pos="8640"/>
      </w:tabs>
    </w:pPr>
  </w:style>
  <w:style w:type="paragraph" w:styleId="Footer">
    <w:name w:val="footer"/>
    <w:basedOn w:val="Normal"/>
    <w:link w:val="FooterChar"/>
    <w:rsid w:val="00FC778F"/>
    <w:pPr>
      <w:tabs>
        <w:tab w:val="right" w:pos="9639"/>
      </w:tabs>
      <w:spacing w:after="0"/>
    </w:pPr>
    <w:rPr>
      <w:color w:val="808080"/>
      <w:sz w:val="20"/>
    </w:rPr>
  </w:style>
  <w:style w:type="character" w:customStyle="1" w:styleId="FooterChar">
    <w:name w:val="Footer Char"/>
    <w:basedOn w:val="DefaultParagraphFont"/>
    <w:link w:val="Footer"/>
    <w:rsid w:val="008F25D4"/>
    <w:rPr>
      <w:color w:val="808080"/>
      <w:sz w:val="20"/>
    </w:rPr>
  </w:style>
  <w:style w:type="paragraph" w:customStyle="1" w:styleId="BulletLast">
    <w:name w:val="BulletLast"/>
    <w:basedOn w:val="Bullet"/>
    <w:rsid w:val="00FC778F"/>
    <w:pPr>
      <w:spacing w:after="260"/>
    </w:pPr>
  </w:style>
  <w:style w:type="paragraph" w:customStyle="1" w:styleId="NumbListNoSpace">
    <w:name w:val="NumbListNoSpace"/>
    <w:basedOn w:val="NumbList"/>
    <w:rsid w:val="00FC778F"/>
    <w:pPr>
      <w:spacing w:after="0"/>
    </w:pPr>
  </w:style>
  <w:style w:type="paragraph" w:customStyle="1" w:styleId="NormalIndent">
    <w:name w:val="NormalIndent"/>
    <w:basedOn w:val="Normal"/>
    <w:rsid w:val="00FC778F"/>
    <w:pPr>
      <w:ind w:left="340"/>
    </w:pPr>
    <w:rPr>
      <w:szCs w:val="20"/>
    </w:rPr>
  </w:style>
  <w:style w:type="character" w:styleId="FollowedHyperlink">
    <w:name w:val="FollowedHyperlink"/>
    <w:basedOn w:val="DefaultParagraphFont"/>
    <w:rsid w:val="00FC778F"/>
    <w:rPr>
      <w:color w:val="800080"/>
      <w:u w:val="single"/>
    </w:rPr>
  </w:style>
  <w:style w:type="paragraph" w:styleId="ListParagraph">
    <w:name w:val="List Paragraph"/>
    <w:basedOn w:val="Normal"/>
    <w:link w:val="ListParagraphChar"/>
    <w:uiPriority w:val="34"/>
    <w:qFormat/>
    <w:rsid w:val="009D74A1"/>
    <w:pPr>
      <w:ind w:left="720"/>
      <w:contextualSpacing/>
    </w:pPr>
  </w:style>
  <w:style w:type="paragraph" w:styleId="FootnoteText">
    <w:name w:val="footnote text"/>
    <w:basedOn w:val="Normal"/>
    <w:link w:val="FootnoteTextChar"/>
    <w:rsid w:val="008F25D4"/>
    <w:rPr>
      <w:rFonts w:eastAsia="Batang"/>
      <w:sz w:val="20"/>
      <w:szCs w:val="20"/>
      <w:lang w:eastAsia="en-US"/>
    </w:rPr>
  </w:style>
  <w:style w:type="character" w:customStyle="1" w:styleId="FootnoteTextChar">
    <w:name w:val="Footnote Text Char"/>
    <w:basedOn w:val="DefaultParagraphFont"/>
    <w:link w:val="FootnoteText"/>
    <w:rsid w:val="008F25D4"/>
    <w:rPr>
      <w:rFonts w:eastAsia="Batang"/>
      <w:sz w:val="20"/>
      <w:szCs w:val="20"/>
      <w:lang w:eastAsia="en-US"/>
    </w:rPr>
  </w:style>
  <w:style w:type="character" w:styleId="FootnoteReference">
    <w:name w:val="footnote reference"/>
    <w:rsid w:val="008F25D4"/>
    <w:rPr>
      <w:vertAlign w:val="superscript"/>
    </w:rPr>
  </w:style>
  <w:style w:type="character" w:styleId="CommentReference">
    <w:name w:val="annotation reference"/>
    <w:uiPriority w:val="99"/>
    <w:rsid w:val="008F25D4"/>
    <w:rPr>
      <w:sz w:val="16"/>
      <w:szCs w:val="16"/>
    </w:rPr>
  </w:style>
  <w:style w:type="paragraph" w:styleId="CommentText">
    <w:name w:val="annotation text"/>
    <w:basedOn w:val="Normal"/>
    <w:link w:val="CommentTextChar"/>
    <w:uiPriority w:val="99"/>
    <w:rsid w:val="008F25D4"/>
    <w:rPr>
      <w:rFonts w:eastAsia="Batang"/>
      <w:sz w:val="20"/>
      <w:szCs w:val="20"/>
      <w:lang w:eastAsia="en-US"/>
    </w:rPr>
  </w:style>
  <w:style w:type="character" w:customStyle="1" w:styleId="CommentTextChar">
    <w:name w:val="Comment Text Char"/>
    <w:basedOn w:val="DefaultParagraphFont"/>
    <w:link w:val="CommentText"/>
    <w:uiPriority w:val="99"/>
    <w:rsid w:val="008F25D4"/>
    <w:rPr>
      <w:rFonts w:eastAsia="Batang"/>
      <w:sz w:val="20"/>
      <w:szCs w:val="20"/>
      <w:lang w:eastAsia="en-US"/>
    </w:rPr>
  </w:style>
  <w:style w:type="paragraph" w:styleId="BalloonText">
    <w:name w:val="Balloon Text"/>
    <w:basedOn w:val="Normal"/>
    <w:link w:val="BalloonTextChar"/>
    <w:uiPriority w:val="99"/>
    <w:rsid w:val="008F2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F25D4"/>
    <w:rPr>
      <w:rFonts w:ascii="Tahoma" w:hAnsi="Tahoma" w:cs="Tahoma"/>
      <w:sz w:val="16"/>
      <w:szCs w:val="16"/>
    </w:rPr>
  </w:style>
  <w:style w:type="character" w:styleId="Hyperlink">
    <w:name w:val="Hyperlink"/>
    <w:unhideWhenUsed/>
    <w:rsid w:val="008F25D4"/>
    <w:rPr>
      <w:color w:val="0000FF"/>
      <w:u w:val="single"/>
    </w:rPr>
  </w:style>
  <w:style w:type="paragraph" w:styleId="CommentSubject">
    <w:name w:val="annotation subject"/>
    <w:basedOn w:val="CommentText"/>
    <w:next w:val="CommentText"/>
    <w:link w:val="CommentSubjectChar"/>
    <w:rsid w:val="008F25D4"/>
    <w:rPr>
      <w:b/>
      <w:bCs/>
    </w:rPr>
  </w:style>
  <w:style w:type="character" w:customStyle="1" w:styleId="CommentSubjectChar">
    <w:name w:val="Comment Subject Char"/>
    <w:basedOn w:val="CommentTextChar"/>
    <w:link w:val="CommentSubject"/>
    <w:rsid w:val="008F25D4"/>
    <w:rPr>
      <w:rFonts w:eastAsia="Batang"/>
      <w:b/>
      <w:bCs/>
      <w:sz w:val="20"/>
      <w:szCs w:val="20"/>
      <w:lang w:eastAsia="en-US"/>
    </w:rPr>
  </w:style>
  <w:style w:type="paragraph" w:customStyle="1" w:styleId="xl902">
    <w:name w:val="xl902"/>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sz w:val="16"/>
      <w:szCs w:val="16"/>
    </w:rPr>
  </w:style>
  <w:style w:type="paragraph" w:customStyle="1" w:styleId="xl903">
    <w:name w:val="xl903"/>
    <w:basedOn w:val="Normal"/>
    <w:rsid w:val="008F25D4"/>
    <w:pPr>
      <w:spacing w:before="100" w:beforeAutospacing="1" w:after="100" w:afterAutospacing="1" w:line="240" w:lineRule="auto"/>
    </w:pPr>
    <w:rPr>
      <w:rFonts w:eastAsia="Batang"/>
      <w:sz w:val="16"/>
      <w:szCs w:val="16"/>
    </w:rPr>
  </w:style>
  <w:style w:type="paragraph" w:customStyle="1" w:styleId="xl904">
    <w:name w:val="xl904"/>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6"/>
      <w:szCs w:val="16"/>
    </w:rPr>
  </w:style>
  <w:style w:type="paragraph" w:customStyle="1" w:styleId="xl905">
    <w:name w:val="xl905"/>
    <w:basedOn w:val="Normal"/>
    <w:rsid w:val="008F25D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eastAsia="Batang"/>
      <w:sz w:val="16"/>
      <w:szCs w:val="16"/>
    </w:rPr>
  </w:style>
  <w:style w:type="paragraph" w:customStyle="1" w:styleId="xl906">
    <w:name w:val="xl906"/>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Batang"/>
      <w:sz w:val="16"/>
      <w:szCs w:val="16"/>
    </w:rPr>
  </w:style>
  <w:style w:type="paragraph" w:customStyle="1" w:styleId="xl907">
    <w:name w:val="xl907"/>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b/>
      <w:bCs/>
      <w:sz w:val="16"/>
      <w:szCs w:val="16"/>
    </w:rPr>
  </w:style>
  <w:style w:type="paragraph" w:customStyle="1" w:styleId="xl908">
    <w:name w:val="xl908"/>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eastAsia="Batang"/>
      <w:b/>
      <w:bCs/>
      <w:sz w:val="16"/>
      <w:szCs w:val="16"/>
    </w:rPr>
  </w:style>
  <w:style w:type="paragraph" w:customStyle="1" w:styleId="xl909">
    <w:name w:val="xl909"/>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sz w:val="16"/>
      <w:szCs w:val="16"/>
    </w:rPr>
  </w:style>
  <w:style w:type="paragraph" w:customStyle="1" w:styleId="xl910">
    <w:name w:val="xl910"/>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6"/>
      <w:szCs w:val="16"/>
    </w:rPr>
  </w:style>
  <w:style w:type="paragraph" w:customStyle="1" w:styleId="xl911">
    <w:name w:val="xl911"/>
    <w:basedOn w:val="Normal"/>
    <w:rsid w:val="008F25D4"/>
    <w:pPr>
      <w:spacing w:before="100" w:beforeAutospacing="1" w:after="100" w:afterAutospacing="1" w:line="240" w:lineRule="auto"/>
    </w:pPr>
    <w:rPr>
      <w:rFonts w:eastAsia="Batang"/>
      <w:sz w:val="16"/>
      <w:szCs w:val="16"/>
    </w:rPr>
  </w:style>
  <w:style w:type="paragraph" w:customStyle="1" w:styleId="xl912">
    <w:name w:val="xl912"/>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6"/>
      <w:szCs w:val="16"/>
    </w:rPr>
  </w:style>
  <w:style w:type="paragraph" w:customStyle="1" w:styleId="xl913">
    <w:name w:val="xl913"/>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6"/>
      <w:szCs w:val="16"/>
    </w:rPr>
  </w:style>
  <w:style w:type="paragraph" w:customStyle="1" w:styleId="xl914">
    <w:name w:val="xl914"/>
    <w:basedOn w:val="Normal"/>
    <w:rsid w:val="008F25D4"/>
    <w:pPr>
      <w:spacing w:before="100" w:beforeAutospacing="1" w:after="100" w:afterAutospacing="1" w:line="240" w:lineRule="auto"/>
    </w:pPr>
    <w:rPr>
      <w:rFonts w:eastAsia="Batang"/>
      <w:b/>
      <w:bCs/>
      <w:sz w:val="16"/>
      <w:szCs w:val="16"/>
    </w:rPr>
  </w:style>
  <w:style w:type="paragraph" w:customStyle="1" w:styleId="xl915">
    <w:name w:val="xl915"/>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6"/>
      <w:szCs w:val="16"/>
    </w:rPr>
  </w:style>
  <w:style w:type="paragraph" w:customStyle="1" w:styleId="xl916">
    <w:name w:val="xl916"/>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6"/>
      <w:szCs w:val="16"/>
    </w:rPr>
  </w:style>
  <w:style w:type="paragraph" w:customStyle="1" w:styleId="xl917">
    <w:name w:val="xl917"/>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6"/>
      <w:szCs w:val="16"/>
    </w:rPr>
  </w:style>
  <w:style w:type="paragraph" w:customStyle="1" w:styleId="xl918">
    <w:name w:val="xl918"/>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6"/>
      <w:szCs w:val="16"/>
    </w:rPr>
  </w:style>
  <w:style w:type="paragraph" w:customStyle="1" w:styleId="xl919">
    <w:name w:val="xl919"/>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6"/>
      <w:szCs w:val="16"/>
    </w:rPr>
  </w:style>
  <w:style w:type="paragraph" w:customStyle="1" w:styleId="xl920">
    <w:name w:val="xl920"/>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6"/>
      <w:szCs w:val="16"/>
    </w:rPr>
  </w:style>
  <w:style w:type="paragraph" w:customStyle="1" w:styleId="xl921">
    <w:name w:val="xl921"/>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6"/>
      <w:szCs w:val="16"/>
    </w:rPr>
  </w:style>
  <w:style w:type="paragraph" w:customStyle="1" w:styleId="xl922">
    <w:name w:val="xl922"/>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6"/>
      <w:szCs w:val="16"/>
    </w:rPr>
  </w:style>
  <w:style w:type="paragraph" w:customStyle="1" w:styleId="xl923">
    <w:name w:val="xl923"/>
    <w:basedOn w:val="Normal"/>
    <w:rsid w:val="008F25D4"/>
    <w:pPr>
      <w:spacing w:before="100" w:beforeAutospacing="1" w:after="100" w:afterAutospacing="1" w:line="240" w:lineRule="auto"/>
      <w:ind w:firstLineChars="100" w:firstLine="100"/>
    </w:pPr>
    <w:rPr>
      <w:rFonts w:eastAsia="Batang"/>
      <w:sz w:val="16"/>
      <w:szCs w:val="16"/>
    </w:rPr>
  </w:style>
  <w:style w:type="paragraph" w:customStyle="1" w:styleId="xl924">
    <w:name w:val="xl924"/>
    <w:basedOn w:val="Normal"/>
    <w:rsid w:val="008F25D4"/>
    <w:pPr>
      <w:spacing w:before="100" w:beforeAutospacing="1" w:after="100" w:afterAutospacing="1" w:line="240" w:lineRule="auto"/>
    </w:pPr>
    <w:rPr>
      <w:rFonts w:eastAsia="Batang"/>
      <w:sz w:val="16"/>
      <w:szCs w:val="16"/>
    </w:rPr>
  </w:style>
  <w:style w:type="paragraph" w:customStyle="1" w:styleId="xl925">
    <w:name w:val="xl925"/>
    <w:basedOn w:val="Normal"/>
    <w:rsid w:val="008F25D4"/>
    <w:pPr>
      <w:spacing w:before="100" w:beforeAutospacing="1" w:after="100" w:afterAutospacing="1" w:line="240" w:lineRule="auto"/>
    </w:pPr>
    <w:rPr>
      <w:rFonts w:eastAsia="Batang"/>
      <w:sz w:val="16"/>
      <w:szCs w:val="16"/>
    </w:rPr>
  </w:style>
  <w:style w:type="paragraph" w:customStyle="1" w:styleId="xl926">
    <w:name w:val="xl926"/>
    <w:basedOn w:val="Normal"/>
    <w:rsid w:val="008F25D4"/>
    <w:pPr>
      <w:spacing w:before="100" w:beforeAutospacing="1" w:after="100" w:afterAutospacing="1" w:line="240" w:lineRule="auto"/>
      <w:ind w:firstLineChars="100" w:firstLine="100"/>
    </w:pPr>
    <w:rPr>
      <w:rFonts w:eastAsia="Batang"/>
      <w:sz w:val="16"/>
      <w:szCs w:val="16"/>
    </w:rPr>
  </w:style>
  <w:style w:type="paragraph" w:customStyle="1" w:styleId="xl927">
    <w:name w:val="xl927"/>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eastAsia="Batang"/>
      <w:b/>
      <w:bCs/>
      <w:sz w:val="16"/>
      <w:szCs w:val="16"/>
    </w:rPr>
  </w:style>
  <w:style w:type="paragraph" w:customStyle="1" w:styleId="xl928">
    <w:name w:val="xl928"/>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Batang"/>
      <w:sz w:val="16"/>
      <w:szCs w:val="16"/>
    </w:rPr>
  </w:style>
  <w:style w:type="paragraph" w:customStyle="1" w:styleId="xl929">
    <w:name w:val="xl929"/>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6"/>
      <w:szCs w:val="16"/>
    </w:rPr>
  </w:style>
  <w:style w:type="paragraph" w:customStyle="1" w:styleId="xl930">
    <w:name w:val="xl930"/>
    <w:basedOn w:val="Normal"/>
    <w:rsid w:val="008F25D4"/>
    <w:pPr>
      <w:spacing w:before="100" w:beforeAutospacing="1" w:after="100" w:afterAutospacing="1" w:line="240" w:lineRule="auto"/>
    </w:pPr>
    <w:rPr>
      <w:rFonts w:eastAsia="Batang"/>
      <w:b/>
      <w:bCs/>
      <w:sz w:val="16"/>
      <w:szCs w:val="16"/>
    </w:rPr>
  </w:style>
  <w:style w:type="paragraph" w:customStyle="1" w:styleId="xl931">
    <w:name w:val="xl931"/>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6"/>
      <w:szCs w:val="16"/>
    </w:rPr>
  </w:style>
  <w:style w:type="paragraph" w:customStyle="1" w:styleId="xl932">
    <w:name w:val="xl932"/>
    <w:basedOn w:val="Normal"/>
    <w:rsid w:val="008F25D4"/>
    <w:pPr>
      <w:pBdr>
        <w:top w:val="single" w:sz="4" w:space="0" w:color="auto"/>
        <w:left w:val="single" w:sz="4" w:space="0" w:color="auto"/>
        <w:bottom w:val="single" w:sz="4" w:space="0" w:color="auto"/>
      </w:pBdr>
      <w:spacing w:before="100" w:beforeAutospacing="1" w:after="100" w:afterAutospacing="1" w:line="240" w:lineRule="auto"/>
      <w:jc w:val="center"/>
    </w:pPr>
    <w:rPr>
      <w:rFonts w:eastAsia="Batang"/>
      <w:b/>
      <w:bCs/>
      <w:sz w:val="16"/>
      <w:szCs w:val="16"/>
    </w:rPr>
  </w:style>
  <w:style w:type="paragraph" w:customStyle="1" w:styleId="xl933">
    <w:name w:val="xl933"/>
    <w:basedOn w:val="Normal"/>
    <w:rsid w:val="008F25D4"/>
    <w:pPr>
      <w:pBdr>
        <w:top w:val="single" w:sz="4" w:space="0" w:color="auto"/>
        <w:bottom w:val="single" w:sz="4" w:space="0" w:color="auto"/>
      </w:pBdr>
      <w:spacing w:before="100" w:beforeAutospacing="1" w:after="100" w:afterAutospacing="1" w:line="240" w:lineRule="auto"/>
      <w:jc w:val="center"/>
    </w:pPr>
    <w:rPr>
      <w:rFonts w:eastAsia="Batang"/>
      <w:b/>
      <w:bCs/>
      <w:sz w:val="16"/>
      <w:szCs w:val="16"/>
    </w:rPr>
  </w:style>
  <w:style w:type="paragraph" w:customStyle="1" w:styleId="xl934">
    <w:name w:val="xl934"/>
    <w:basedOn w:val="Normal"/>
    <w:rsid w:val="008F25D4"/>
    <w:pPr>
      <w:pBdr>
        <w:top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6"/>
      <w:szCs w:val="16"/>
    </w:rPr>
  </w:style>
  <w:style w:type="paragraph" w:customStyle="1" w:styleId="xl47215">
    <w:name w:val="xl47215"/>
    <w:basedOn w:val="Normal"/>
    <w:rsid w:val="008F25D4"/>
    <w:pPr>
      <w:spacing w:before="100" w:beforeAutospacing="1" w:after="100" w:afterAutospacing="1" w:line="240" w:lineRule="auto"/>
    </w:pPr>
    <w:rPr>
      <w:rFonts w:eastAsia="Batang"/>
      <w:sz w:val="16"/>
      <w:szCs w:val="16"/>
    </w:rPr>
  </w:style>
  <w:style w:type="paragraph" w:customStyle="1" w:styleId="xl47216">
    <w:name w:val="xl47216"/>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6"/>
      <w:szCs w:val="16"/>
    </w:rPr>
  </w:style>
  <w:style w:type="paragraph" w:customStyle="1" w:styleId="xl47217">
    <w:name w:val="xl47217"/>
    <w:basedOn w:val="Normal"/>
    <w:rsid w:val="008F25D4"/>
    <w:pPr>
      <w:spacing w:before="100" w:beforeAutospacing="1" w:after="100" w:afterAutospacing="1" w:line="240" w:lineRule="auto"/>
    </w:pPr>
    <w:rPr>
      <w:rFonts w:eastAsia="Batang"/>
      <w:sz w:val="16"/>
      <w:szCs w:val="16"/>
    </w:rPr>
  </w:style>
  <w:style w:type="paragraph" w:customStyle="1" w:styleId="xl47218">
    <w:name w:val="xl47218"/>
    <w:basedOn w:val="Normal"/>
    <w:rsid w:val="008F25D4"/>
    <w:pPr>
      <w:spacing w:before="100" w:beforeAutospacing="1" w:after="100" w:afterAutospacing="1" w:line="240" w:lineRule="auto"/>
    </w:pPr>
    <w:rPr>
      <w:rFonts w:eastAsia="Batang"/>
      <w:b/>
      <w:bCs/>
      <w:sz w:val="16"/>
      <w:szCs w:val="16"/>
    </w:rPr>
  </w:style>
  <w:style w:type="paragraph" w:customStyle="1" w:styleId="xl47219">
    <w:name w:val="xl47219"/>
    <w:basedOn w:val="Normal"/>
    <w:rsid w:val="008F25D4"/>
    <w:pPr>
      <w:spacing w:before="100" w:beforeAutospacing="1" w:after="100" w:afterAutospacing="1" w:line="240" w:lineRule="auto"/>
    </w:pPr>
    <w:rPr>
      <w:rFonts w:eastAsia="Batang"/>
      <w:sz w:val="16"/>
      <w:szCs w:val="16"/>
    </w:rPr>
  </w:style>
  <w:style w:type="paragraph" w:customStyle="1" w:styleId="xl47220">
    <w:name w:val="xl47220"/>
    <w:basedOn w:val="Normal"/>
    <w:rsid w:val="008F25D4"/>
    <w:pPr>
      <w:spacing w:before="100" w:beforeAutospacing="1" w:after="100" w:afterAutospacing="1" w:line="240" w:lineRule="auto"/>
    </w:pPr>
    <w:rPr>
      <w:rFonts w:eastAsia="Batang"/>
      <w:b/>
      <w:bCs/>
      <w:sz w:val="16"/>
      <w:szCs w:val="16"/>
    </w:rPr>
  </w:style>
  <w:style w:type="paragraph" w:customStyle="1" w:styleId="xl47221">
    <w:name w:val="xl47221"/>
    <w:basedOn w:val="Normal"/>
    <w:rsid w:val="008F25D4"/>
    <w:pPr>
      <w:spacing w:before="100" w:beforeAutospacing="1" w:after="100" w:afterAutospacing="1" w:line="240" w:lineRule="auto"/>
    </w:pPr>
    <w:rPr>
      <w:rFonts w:eastAsia="Batang"/>
      <w:sz w:val="16"/>
      <w:szCs w:val="16"/>
    </w:rPr>
  </w:style>
  <w:style w:type="paragraph" w:customStyle="1" w:styleId="xl47222">
    <w:name w:val="xl47222"/>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8"/>
      <w:szCs w:val="18"/>
    </w:rPr>
  </w:style>
  <w:style w:type="paragraph" w:customStyle="1" w:styleId="xl47223">
    <w:name w:val="xl47223"/>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47224">
    <w:name w:val="xl47224"/>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8"/>
      <w:szCs w:val="18"/>
    </w:rPr>
  </w:style>
  <w:style w:type="paragraph" w:customStyle="1" w:styleId="xl47225">
    <w:name w:val="xl47225"/>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8"/>
      <w:szCs w:val="18"/>
    </w:rPr>
  </w:style>
  <w:style w:type="paragraph" w:customStyle="1" w:styleId="xl47226">
    <w:name w:val="xl47226"/>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8"/>
      <w:szCs w:val="18"/>
    </w:rPr>
  </w:style>
  <w:style w:type="paragraph" w:customStyle="1" w:styleId="xl47227">
    <w:name w:val="xl47227"/>
    <w:basedOn w:val="Normal"/>
    <w:rsid w:val="008F25D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eastAsia="Batang"/>
      <w:sz w:val="18"/>
      <w:szCs w:val="18"/>
    </w:rPr>
  </w:style>
  <w:style w:type="paragraph" w:customStyle="1" w:styleId="xl47228">
    <w:name w:val="xl47228"/>
    <w:basedOn w:val="Normal"/>
    <w:rsid w:val="008F25D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eastAsia="Batang"/>
      <w:sz w:val="18"/>
      <w:szCs w:val="18"/>
    </w:rPr>
  </w:style>
  <w:style w:type="paragraph" w:customStyle="1" w:styleId="xl47229">
    <w:name w:val="xl47229"/>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sz w:val="18"/>
      <w:szCs w:val="18"/>
    </w:rPr>
  </w:style>
  <w:style w:type="paragraph" w:customStyle="1" w:styleId="xl47230">
    <w:name w:val="xl47230"/>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sz w:val="18"/>
      <w:szCs w:val="18"/>
    </w:rPr>
  </w:style>
  <w:style w:type="paragraph" w:customStyle="1" w:styleId="xl47231">
    <w:name w:val="xl47231"/>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8"/>
      <w:szCs w:val="18"/>
    </w:rPr>
  </w:style>
  <w:style w:type="paragraph" w:customStyle="1" w:styleId="xl47232">
    <w:name w:val="xl47232"/>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18"/>
      <w:szCs w:val="18"/>
    </w:rPr>
  </w:style>
  <w:style w:type="paragraph" w:customStyle="1" w:styleId="xl47233">
    <w:name w:val="xl47233"/>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18"/>
      <w:szCs w:val="18"/>
    </w:rPr>
  </w:style>
  <w:style w:type="paragraph" w:customStyle="1" w:styleId="xl47234">
    <w:name w:val="xl47234"/>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eastAsia="Batang"/>
      <w:sz w:val="18"/>
      <w:szCs w:val="18"/>
    </w:rPr>
  </w:style>
  <w:style w:type="paragraph" w:customStyle="1" w:styleId="xl47235">
    <w:name w:val="xl47235"/>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eastAsia="Batang"/>
      <w:sz w:val="18"/>
      <w:szCs w:val="18"/>
    </w:rPr>
  </w:style>
  <w:style w:type="paragraph" w:customStyle="1" w:styleId="xl47236">
    <w:name w:val="xl47236"/>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18"/>
      <w:szCs w:val="18"/>
    </w:rPr>
  </w:style>
  <w:style w:type="paragraph" w:customStyle="1" w:styleId="xl47237">
    <w:name w:val="xl47237"/>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18"/>
      <w:szCs w:val="18"/>
    </w:rPr>
  </w:style>
  <w:style w:type="paragraph" w:customStyle="1" w:styleId="xl47238">
    <w:name w:val="xl47238"/>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eastAsia="Batang"/>
      <w:sz w:val="18"/>
      <w:szCs w:val="18"/>
    </w:rPr>
  </w:style>
  <w:style w:type="paragraph" w:customStyle="1" w:styleId="xl47239">
    <w:name w:val="xl47239"/>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eastAsia="Batang"/>
      <w:sz w:val="18"/>
      <w:szCs w:val="18"/>
    </w:rPr>
  </w:style>
  <w:style w:type="paragraph" w:customStyle="1" w:styleId="xl47240">
    <w:name w:val="xl47240"/>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6"/>
      <w:szCs w:val="16"/>
    </w:rPr>
  </w:style>
  <w:style w:type="paragraph" w:customStyle="1" w:styleId="xl47241">
    <w:name w:val="xl47241"/>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6"/>
      <w:szCs w:val="16"/>
    </w:rPr>
  </w:style>
  <w:style w:type="paragraph" w:customStyle="1" w:styleId="xl47242">
    <w:name w:val="xl47242"/>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6"/>
      <w:szCs w:val="16"/>
    </w:rPr>
  </w:style>
  <w:style w:type="paragraph" w:customStyle="1" w:styleId="xl47243">
    <w:name w:val="xl47243"/>
    <w:basedOn w:val="Normal"/>
    <w:rsid w:val="008F25D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47244">
    <w:name w:val="xl47244"/>
    <w:basedOn w:val="Normal"/>
    <w:rsid w:val="008F25D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47245">
    <w:name w:val="xl47245"/>
    <w:basedOn w:val="Normal"/>
    <w:rsid w:val="008F25D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47246">
    <w:name w:val="xl47246"/>
    <w:basedOn w:val="Normal"/>
    <w:rsid w:val="008F25D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62524">
    <w:name w:val="xl62524"/>
    <w:basedOn w:val="Normal"/>
    <w:rsid w:val="008F25D4"/>
    <w:pPr>
      <w:spacing w:before="100" w:beforeAutospacing="1" w:after="100" w:afterAutospacing="1" w:line="240" w:lineRule="auto"/>
    </w:pPr>
    <w:rPr>
      <w:rFonts w:eastAsia="Batang"/>
      <w:sz w:val="18"/>
      <w:szCs w:val="18"/>
    </w:rPr>
  </w:style>
  <w:style w:type="paragraph" w:customStyle="1" w:styleId="xl62525">
    <w:name w:val="xl62525"/>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8"/>
      <w:szCs w:val="18"/>
    </w:rPr>
  </w:style>
  <w:style w:type="paragraph" w:customStyle="1" w:styleId="xl62526">
    <w:name w:val="xl62526"/>
    <w:basedOn w:val="Normal"/>
    <w:rsid w:val="008F25D4"/>
    <w:pPr>
      <w:spacing w:before="100" w:beforeAutospacing="1" w:after="100" w:afterAutospacing="1" w:line="240" w:lineRule="auto"/>
    </w:pPr>
    <w:rPr>
      <w:rFonts w:eastAsia="Batang"/>
      <w:sz w:val="18"/>
      <w:szCs w:val="18"/>
    </w:rPr>
  </w:style>
  <w:style w:type="paragraph" w:customStyle="1" w:styleId="xl62527">
    <w:name w:val="xl62527"/>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8"/>
      <w:szCs w:val="18"/>
    </w:rPr>
  </w:style>
  <w:style w:type="paragraph" w:customStyle="1" w:styleId="xl62528">
    <w:name w:val="xl62528"/>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62529">
    <w:name w:val="xl62529"/>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62530">
    <w:name w:val="xl62530"/>
    <w:basedOn w:val="Normal"/>
    <w:rsid w:val="008F25D4"/>
    <w:pPr>
      <w:spacing w:before="100" w:beforeAutospacing="1" w:after="100" w:afterAutospacing="1" w:line="240" w:lineRule="auto"/>
    </w:pPr>
    <w:rPr>
      <w:rFonts w:eastAsia="Batang"/>
      <w:b/>
      <w:bCs/>
      <w:sz w:val="18"/>
      <w:szCs w:val="18"/>
    </w:rPr>
  </w:style>
  <w:style w:type="paragraph" w:customStyle="1" w:styleId="xl62531">
    <w:name w:val="xl62531"/>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8"/>
      <w:szCs w:val="18"/>
    </w:rPr>
  </w:style>
  <w:style w:type="paragraph" w:customStyle="1" w:styleId="xl62532">
    <w:name w:val="xl62532"/>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8"/>
      <w:szCs w:val="18"/>
    </w:rPr>
  </w:style>
  <w:style w:type="paragraph" w:customStyle="1" w:styleId="xl62533">
    <w:name w:val="xl62533"/>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8"/>
      <w:szCs w:val="18"/>
    </w:rPr>
  </w:style>
  <w:style w:type="paragraph" w:customStyle="1" w:styleId="xl62534">
    <w:name w:val="xl62534"/>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8"/>
      <w:szCs w:val="18"/>
    </w:rPr>
  </w:style>
  <w:style w:type="paragraph" w:customStyle="1" w:styleId="xl62535">
    <w:name w:val="xl62535"/>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8"/>
      <w:szCs w:val="18"/>
    </w:rPr>
  </w:style>
  <w:style w:type="paragraph" w:customStyle="1" w:styleId="xl62536">
    <w:name w:val="xl62536"/>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8"/>
      <w:szCs w:val="18"/>
    </w:rPr>
  </w:style>
  <w:style w:type="paragraph" w:customStyle="1" w:styleId="xl62537">
    <w:name w:val="xl62537"/>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Batang"/>
      <w:sz w:val="18"/>
      <w:szCs w:val="18"/>
    </w:rPr>
  </w:style>
  <w:style w:type="paragraph" w:customStyle="1" w:styleId="xl62538">
    <w:name w:val="xl62538"/>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eastAsia="Batang"/>
      <w:sz w:val="18"/>
      <w:szCs w:val="18"/>
    </w:rPr>
  </w:style>
  <w:style w:type="paragraph" w:customStyle="1" w:styleId="xl62539">
    <w:name w:val="xl62539"/>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eastAsia="Batang"/>
      <w:sz w:val="18"/>
      <w:szCs w:val="18"/>
    </w:rPr>
  </w:style>
  <w:style w:type="paragraph" w:customStyle="1" w:styleId="xl62540">
    <w:name w:val="xl62540"/>
    <w:basedOn w:val="Normal"/>
    <w:rsid w:val="008F25D4"/>
    <w:pPr>
      <w:spacing w:before="100" w:beforeAutospacing="1" w:after="100" w:afterAutospacing="1" w:line="240" w:lineRule="auto"/>
    </w:pPr>
    <w:rPr>
      <w:rFonts w:eastAsia="Batang"/>
      <w:b/>
      <w:bCs/>
      <w:sz w:val="18"/>
      <w:szCs w:val="18"/>
    </w:rPr>
  </w:style>
  <w:style w:type="paragraph" w:customStyle="1" w:styleId="xl62541">
    <w:name w:val="xl62541"/>
    <w:basedOn w:val="Normal"/>
    <w:rsid w:val="008F25D4"/>
    <w:pPr>
      <w:spacing w:before="100" w:beforeAutospacing="1" w:after="100" w:afterAutospacing="1" w:line="240" w:lineRule="auto"/>
    </w:pPr>
    <w:rPr>
      <w:rFonts w:eastAsia="Batang"/>
      <w:sz w:val="18"/>
      <w:szCs w:val="18"/>
    </w:rPr>
  </w:style>
  <w:style w:type="paragraph" w:customStyle="1" w:styleId="xl62542">
    <w:name w:val="xl62542"/>
    <w:basedOn w:val="Normal"/>
    <w:rsid w:val="008F25D4"/>
    <w:pPr>
      <w:spacing w:before="100" w:beforeAutospacing="1" w:after="100" w:afterAutospacing="1" w:line="240" w:lineRule="auto"/>
    </w:pPr>
    <w:rPr>
      <w:rFonts w:eastAsia="Batang"/>
      <w:sz w:val="18"/>
      <w:szCs w:val="18"/>
    </w:rPr>
  </w:style>
  <w:style w:type="paragraph" w:customStyle="1" w:styleId="xl62543">
    <w:name w:val="xl62543"/>
    <w:basedOn w:val="Normal"/>
    <w:rsid w:val="008F25D4"/>
    <w:pPr>
      <w:spacing w:before="100" w:beforeAutospacing="1" w:after="100" w:afterAutospacing="1" w:line="240" w:lineRule="auto"/>
    </w:pPr>
    <w:rPr>
      <w:rFonts w:eastAsia="Batang"/>
      <w:sz w:val="18"/>
      <w:szCs w:val="18"/>
    </w:rPr>
  </w:style>
  <w:style w:type="paragraph" w:customStyle="1" w:styleId="xl62544">
    <w:name w:val="xl62544"/>
    <w:basedOn w:val="Normal"/>
    <w:rsid w:val="008F25D4"/>
    <w:pPr>
      <w:spacing w:before="100" w:beforeAutospacing="1" w:after="100" w:afterAutospacing="1" w:line="240" w:lineRule="auto"/>
    </w:pPr>
    <w:rPr>
      <w:rFonts w:eastAsia="Batang"/>
      <w:b/>
      <w:bCs/>
      <w:sz w:val="18"/>
      <w:szCs w:val="18"/>
    </w:rPr>
  </w:style>
  <w:style w:type="paragraph" w:customStyle="1" w:styleId="xl62545">
    <w:name w:val="xl62545"/>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18"/>
      <w:szCs w:val="18"/>
    </w:rPr>
  </w:style>
  <w:style w:type="paragraph" w:customStyle="1" w:styleId="xl62546">
    <w:name w:val="xl62546"/>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eastAsia="Batang"/>
      <w:b/>
      <w:bCs/>
      <w:sz w:val="18"/>
      <w:szCs w:val="18"/>
    </w:rPr>
  </w:style>
  <w:style w:type="paragraph" w:customStyle="1" w:styleId="xl62547">
    <w:name w:val="xl62547"/>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eastAsia="Batang"/>
      <w:sz w:val="18"/>
      <w:szCs w:val="18"/>
    </w:rPr>
  </w:style>
  <w:style w:type="paragraph" w:customStyle="1" w:styleId="xl62548">
    <w:name w:val="xl62548"/>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eastAsia="Batang"/>
      <w:sz w:val="18"/>
      <w:szCs w:val="18"/>
    </w:rPr>
  </w:style>
  <w:style w:type="paragraph" w:customStyle="1" w:styleId="xl62549">
    <w:name w:val="xl62549"/>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18"/>
      <w:szCs w:val="18"/>
    </w:rPr>
  </w:style>
  <w:style w:type="paragraph" w:customStyle="1" w:styleId="xl62550">
    <w:name w:val="xl62550"/>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18"/>
      <w:szCs w:val="18"/>
    </w:rPr>
  </w:style>
  <w:style w:type="paragraph" w:customStyle="1" w:styleId="xl62551">
    <w:name w:val="xl62551"/>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18"/>
      <w:szCs w:val="18"/>
    </w:rPr>
  </w:style>
  <w:style w:type="paragraph" w:customStyle="1" w:styleId="xl62552">
    <w:name w:val="xl62552"/>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b/>
      <w:bCs/>
      <w:sz w:val="18"/>
      <w:szCs w:val="18"/>
    </w:rPr>
  </w:style>
  <w:style w:type="paragraph" w:customStyle="1" w:styleId="xl62553">
    <w:name w:val="xl62553"/>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18"/>
      <w:szCs w:val="18"/>
    </w:rPr>
  </w:style>
  <w:style w:type="paragraph" w:customStyle="1" w:styleId="xl62554">
    <w:name w:val="xl62554"/>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eastAsia="Batang"/>
      <w:sz w:val="18"/>
      <w:szCs w:val="18"/>
    </w:rPr>
  </w:style>
  <w:style w:type="paragraph" w:customStyle="1" w:styleId="xl62555">
    <w:name w:val="xl62555"/>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eastAsia="Batang"/>
      <w:sz w:val="18"/>
      <w:szCs w:val="18"/>
    </w:rPr>
  </w:style>
  <w:style w:type="paragraph" w:customStyle="1" w:styleId="xl62556">
    <w:name w:val="xl62556"/>
    <w:basedOn w:val="Normal"/>
    <w:rsid w:val="008F25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eastAsia="Batang"/>
      <w:sz w:val="18"/>
      <w:szCs w:val="18"/>
    </w:rPr>
  </w:style>
  <w:style w:type="paragraph" w:customStyle="1" w:styleId="xl62557">
    <w:name w:val="xl62557"/>
    <w:basedOn w:val="Normal"/>
    <w:rsid w:val="008F25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Batang"/>
      <w:b/>
      <w:bCs/>
      <w:sz w:val="18"/>
      <w:szCs w:val="18"/>
    </w:rPr>
  </w:style>
  <w:style w:type="paragraph" w:customStyle="1" w:styleId="xl62558">
    <w:name w:val="xl62558"/>
    <w:basedOn w:val="Normal"/>
    <w:rsid w:val="008F25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b/>
      <w:bCs/>
      <w:sz w:val="18"/>
      <w:szCs w:val="18"/>
    </w:rPr>
  </w:style>
  <w:style w:type="paragraph" w:customStyle="1" w:styleId="xl62559">
    <w:name w:val="xl62559"/>
    <w:basedOn w:val="Normal"/>
    <w:rsid w:val="008F2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8"/>
      <w:szCs w:val="18"/>
    </w:rPr>
  </w:style>
  <w:style w:type="paragraph" w:customStyle="1" w:styleId="xl62560">
    <w:name w:val="xl62560"/>
    <w:basedOn w:val="Normal"/>
    <w:rsid w:val="008F25D4"/>
    <w:pPr>
      <w:pBdr>
        <w:top w:val="single" w:sz="4" w:space="0" w:color="auto"/>
        <w:left w:val="single" w:sz="4" w:space="0" w:color="auto"/>
        <w:bottom w:val="single" w:sz="4" w:space="0" w:color="auto"/>
      </w:pBdr>
      <w:spacing w:before="100" w:beforeAutospacing="1" w:after="100" w:afterAutospacing="1" w:line="240" w:lineRule="auto"/>
      <w:jc w:val="center"/>
    </w:pPr>
    <w:rPr>
      <w:rFonts w:eastAsia="Batang"/>
      <w:b/>
      <w:bCs/>
      <w:sz w:val="18"/>
      <w:szCs w:val="18"/>
    </w:rPr>
  </w:style>
  <w:style w:type="paragraph" w:customStyle="1" w:styleId="xl62561">
    <w:name w:val="xl62561"/>
    <w:basedOn w:val="Normal"/>
    <w:rsid w:val="008F25D4"/>
    <w:pPr>
      <w:pBdr>
        <w:top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18"/>
      <w:szCs w:val="18"/>
    </w:rPr>
  </w:style>
  <w:style w:type="paragraph" w:customStyle="1" w:styleId="xl62562">
    <w:name w:val="xl62562"/>
    <w:basedOn w:val="Normal"/>
    <w:rsid w:val="008F25D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62563">
    <w:name w:val="xl62563"/>
    <w:basedOn w:val="Normal"/>
    <w:rsid w:val="008F25D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62564">
    <w:name w:val="xl62564"/>
    <w:basedOn w:val="Normal"/>
    <w:rsid w:val="008F25D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62565">
    <w:name w:val="xl62565"/>
    <w:basedOn w:val="Normal"/>
    <w:rsid w:val="008F25D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8"/>
      <w:szCs w:val="18"/>
    </w:rPr>
  </w:style>
  <w:style w:type="paragraph" w:customStyle="1" w:styleId="xl62566">
    <w:name w:val="xl62566"/>
    <w:basedOn w:val="Normal"/>
    <w:rsid w:val="008F25D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sz w:val="18"/>
      <w:szCs w:val="18"/>
    </w:rPr>
  </w:style>
  <w:style w:type="table" w:customStyle="1" w:styleId="TableGrid1">
    <w:name w:val="Table Grid1"/>
    <w:basedOn w:val="TableNormal"/>
    <w:next w:val="TableGrid"/>
    <w:uiPriority w:val="59"/>
    <w:rsid w:val="008F25D4"/>
    <w:pPr>
      <w:spacing w:after="240"/>
    </w:pPr>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F25D4"/>
    <w:pPr>
      <w:spacing w:after="270" w:line="270" w:lineRule="atLeast"/>
    </w:pPr>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8F25D4"/>
    <w:pPr>
      <w:spacing w:after="260" w:line="260" w:lineRule="atLeast"/>
    </w:pPr>
    <w:rPr>
      <w:rFonts w:ascii="Times New Roman" w:eastAsia="Batang" w:hAnsi="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
    <w:name w:val="Table Grid3"/>
    <w:basedOn w:val="TableNormal"/>
    <w:next w:val="TableGrid"/>
    <w:uiPriority w:val="59"/>
    <w:rsid w:val="008F25D4"/>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25D4"/>
    <w:pPr>
      <w:spacing w:after="150" w:line="240" w:lineRule="auto"/>
      <w:ind w:right="150"/>
    </w:pPr>
    <w:rPr>
      <w:rFonts w:ascii="Times New Roman" w:eastAsia="Batang" w:hAnsi="Times New Roman"/>
    </w:rPr>
  </w:style>
  <w:style w:type="table" w:customStyle="1" w:styleId="TableGrid4">
    <w:name w:val="Table Grid4"/>
    <w:basedOn w:val="TableNormal"/>
    <w:next w:val="TableGrid"/>
    <w:uiPriority w:val="59"/>
    <w:rsid w:val="008F25D4"/>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25D4"/>
  </w:style>
  <w:style w:type="paragraph" w:customStyle="1" w:styleId="Default">
    <w:name w:val="Default"/>
    <w:rsid w:val="001F4772"/>
    <w:pPr>
      <w:autoSpaceDE w:val="0"/>
      <w:autoSpaceDN w:val="0"/>
      <w:adjustRightInd w:val="0"/>
    </w:pPr>
    <w:rPr>
      <w:rFonts w:eastAsiaTheme="minorHAnsi" w:cs="Foundry Sans"/>
      <w:color w:val="000000"/>
      <w:lang w:eastAsia="en-US"/>
    </w:rPr>
  </w:style>
  <w:style w:type="paragraph" w:styleId="NoSpacing">
    <w:name w:val="No Spacing"/>
    <w:uiPriority w:val="1"/>
    <w:qFormat/>
    <w:rsid w:val="00437219"/>
    <w:rPr>
      <w:rFonts w:eastAsiaTheme="minorHAnsi" w:cstheme="minorBidi"/>
      <w:sz w:val="22"/>
      <w:szCs w:val="22"/>
      <w:lang w:eastAsia="en-US"/>
    </w:rPr>
  </w:style>
  <w:style w:type="character" w:customStyle="1" w:styleId="ListParagraphChar">
    <w:name w:val="List Paragraph Char"/>
    <w:basedOn w:val="DefaultParagraphFont"/>
    <w:link w:val="ListParagraph"/>
    <w:uiPriority w:val="34"/>
    <w:rsid w:val="00F72076"/>
  </w:style>
  <w:style w:type="table" w:customStyle="1" w:styleId="TableGrid5">
    <w:name w:val="Table Grid5"/>
    <w:basedOn w:val="TableNormal"/>
    <w:next w:val="TableGrid"/>
    <w:rsid w:val="00E75ADE"/>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75ADE"/>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ADE"/>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75ADE"/>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75ADE"/>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uiPriority w:val="99"/>
    <w:rsid w:val="00BA273C"/>
    <w:pPr>
      <w:numPr>
        <w:numId w:val="63"/>
      </w:numPr>
      <w:spacing w:after="0" w:line="280" w:lineRule="atLeast"/>
    </w:pPr>
    <w:rPr>
      <w:sz w:val="22"/>
      <w:lang w:eastAsia="en-US"/>
    </w:rPr>
  </w:style>
  <w:style w:type="numbering" w:customStyle="1" w:styleId="NoList1">
    <w:name w:val="No List1"/>
    <w:next w:val="NoList"/>
    <w:uiPriority w:val="99"/>
    <w:semiHidden/>
    <w:unhideWhenUsed/>
    <w:rsid w:val="00114559"/>
  </w:style>
  <w:style w:type="table" w:customStyle="1" w:styleId="TableGrid10">
    <w:name w:val="Table Grid10"/>
    <w:basedOn w:val="TableNormal"/>
    <w:next w:val="TableGrid"/>
    <w:rsid w:val="00114559"/>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14559"/>
  </w:style>
  <w:style w:type="character" w:customStyle="1" w:styleId="HeaderChar">
    <w:name w:val="Header Char"/>
    <w:basedOn w:val="DefaultParagraphFont"/>
    <w:link w:val="Header"/>
    <w:rsid w:val="00114559"/>
  </w:style>
  <w:style w:type="paragraph" w:customStyle="1" w:styleId="numblist0">
    <w:name w:val="numblist"/>
    <w:basedOn w:val="Normal"/>
    <w:rsid w:val="00114559"/>
    <w:pPr>
      <w:ind w:left="340" w:hanging="340"/>
    </w:pPr>
    <w:rPr>
      <w:rFonts w:ascii="Times New Roman" w:eastAsiaTheme="minorHAnsi" w:hAnsi="Times New Roman"/>
    </w:rPr>
  </w:style>
  <w:style w:type="numbering" w:customStyle="1" w:styleId="NoList2">
    <w:name w:val="No List2"/>
    <w:next w:val="NoList"/>
    <w:uiPriority w:val="99"/>
    <w:semiHidden/>
    <w:unhideWhenUsed/>
    <w:rsid w:val="00237C16"/>
  </w:style>
  <w:style w:type="table" w:customStyle="1" w:styleId="TableGrid11">
    <w:name w:val="Table Grid11"/>
    <w:basedOn w:val="TableNormal"/>
    <w:next w:val="TableGrid"/>
    <w:rsid w:val="00237C16"/>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37C16"/>
  </w:style>
  <w:style w:type="table" w:customStyle="1" w:styleId="TableGrid12">
    <w:name w:val="Table Grid12"/>
    <w:basedOn w:val="TableNormal"/>
    <w:rsid w:val="00134207"/>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523">
      <w:bodyDiv w:val="1"/>
      <w:marLeft w:val="0"/>
      <w:marRight w:val="0"/>
      <w:marTop w:val="0"/>
      <w:marBottom w:val="0"/>
      <w:divBdr>
        <w:top w:val="none" w:sz="0" w:space="0" w:color="auto"/>
        <w:left w:val="none" w:sz="0" w:space="0" w:color="auto"/>
        <w:bottom w:val="none" w:sz="0" w:space="0" w:color="auto"/>
        <w:right w:val="none" w:sz="0" w:space="0" w:color="auto"/>
      </w:divBdr>
    </w:div>
    <w:div w:id="21521656">
      <w:bodyDiv w:val="1"/>
      <w:marLeft w:val="0"/>
      <w:marRight w:val="0"/>
      <w:marTop w:val="0"/>
      <w:marBottom w:val="0"/>
      <w:divBdr>
        <w:top w:val="none" w:sz="0" w:space="0" w:color="auto"/>
        <w:left w:val="none" w:sz="0" w:space="0" w:color="auto"/>
        <w:bottom w:val="none" w:sz="0" w:space="0" w:color="auto"/>
        <w:right w:val="none" w:sz="0" w:space="0" w:color="auto"/>
      </w:divBdr>
    </w:div>
    <w:div w:id="31465533">
      <w:bodyDiv w:val="1"/>
      <w:marLeft w:val="0"/>
      <w:marRight w:val="0"/>
      <w:marTop w:val="0"/>
      <w:marBottom w:val="0"/>
      <w:divBdr>
        <w:top w:val="none" w:sz="0" w:space="0" w:color="auto"/>
        <w:left w:val="none" w:sz="0" w:space="0" w:color="auto"/>
        <w:bottom w:val="none" w:sz="0" w:space="0" w:color="auto"/>
        <w:right w:val="none" w:sz="0" w:space="0" w:color="auto"/>
      </w:divBdr>
    </w:div>
    <w:div w:id="123348467">
      <w:bodyDiv w:val="1"/>
      <w:marLeft w:val="0"/>
      <w:marRight w:val="0"/>
      <w:marTop w:val="0"/>
      <w:marBottom w:val="0"/>
      <w:divBdr>
        <w:top w:val="none" w:sz="0" w:space="0" w:color="auto"/>
        <w:left w:val="none" w:sz="0" w:space="0" w:color="auto"/>
        <w:bottom w:val="none" w:sz="0" w:space="0" w:color="auto"/>
        <w:right w:val="none" w:sz="0" w:space="0" w:color="auto"/>
      </w:divBdr>
    </w:div>
    <w:div w:id="407384263">
      <w:bodyDiv w:val="1"/>
      <w:marLeft w:val="0"/>
      <w:marRight w:val="0"/>
      <w:marTop w:val="0"/>
      <w:marBottom w:val="0"/>
      <w:divBdr>
        <w:top w:val="none" w:sz="0" w:space="0" w:color="auto"/>
        <w:left w:val="none" w:sz="0" w:space="0" w:color="auto"/>
        <w:bottom w:val="none" w:sz="0" w:space="0" w:color="auto"/>
        <w:right w:val="none" w:sz="0" w:space="0" w:color="auto"/>
      </w:divBdr>
    </w:div>
    <w:div w:id="465009956">
      <w:bodyDiv w:val="1"/>
      <w:marLeft w:val="0"/>
      <w:marRight w:val="0"/>
      <w:marTop w:val="0"/>
      <w:marBottom w:val="0"/>
      <w:divBdr>
        <w:top w:val="none" w:sz="0" w:space="0" w:color="auto"/>
        <w:left w:val="none" w:sz="0" w:space="0" w:color="auto"/>
        <w:bottom w:val="none" w:sz="0" w:space="0" w:color="auto"/>
        <w:right w:val="none" w:sz="0" w:space="0" w:color="auto"/>
      </w:divBdr>
    </w:div>
    <w:div w:id="552885050">
      <w:bodyDiv w:val="1"/>
      <w:marLeft w:val="0"/>
      <w:marRight w:val="0"/>
      <w:marTop w:val="0"/>
      <w:marBottom w:val="0"/>
      <w:divBdr>
        <w:top w:val="none" w:sz="0" w:space="0" w:color="auto"/>
        <w:left w:val="none" w:sz="0" w:space="0" w:color="auto"/>
        <w:bottom w:val="none" w:sz="0" w:space="0" w:color="auto"/>
        <w:right w:val="none" w:sz="0" w:space="0" w:color="auto"/>
      </w:divBdr>
    </w:div>
    <w:div w:id="672687642">
      <w:bodyDiv w:val="1"/>
      <w:marLeft w:val="0"/>
      <w:marRight w:val="0"/>
      <w:marTop w:val="0"/>
      <w:marBottom w:val="0"/>
      <w:divBdr>
        <w:top w:val="none" w:sz="0" w:space="0" w:color="auto"/>
        <w:left w:val="none" w:sz="0" w:space="0" w:color="auto"/>
        <w:bottom w:val="none" w:sz="0" w:space="0" w:color="auto"/>
        <w:right w:val="none" w:sz="0" w:space="0" w:color="auto"/>
      </w:divBdr>
    </w:div>
    <w:div w:id="784813051">
      <w:bodyDiv w:val="1"/>
      <w:marLeft w:val="0"/>
      <w:marRight w:val="0"/>
      <w:marTop w:val="0"/>
      <w:marBottom w:val="0"/>
      <w:divBdr>
        <w:top w:val="none" w:sz="0" w:space="0" w:color="auto"/>
        <w:left w:val="none" w:sz="0" w:space="0" w:color="auto"/>
        <w:bottom w:val="none" w:sz="0" w:space="0" w:color="auto"/>
        <w:right w:val="none" w:sz="0" w:space="0" w:color="auto"/>
      </w:divBdr>
    </w:div>
    <w:div w:id="913050400">
      <w:bodyDiv w:val="1"/>
      <w:marLeft w:val="0"/>
      <w:marRight w:val="0"/>
      <w:marTop w:val="0"/>
      <w:marBottom w:val="0"/>
      <w:divBdr>
        <w:top w:val="none" w:sz="0" w:space="0" w:color="auto"/>
        <w:left w:val="none" w:sz="0" w:space="0" w:color="auto"/>
        <w:bottom w:val="none" w:sz="0" w:space="0" w:color="auto"/>
        <w:right w:val="none" w:sz="0" w:space="0" w:color="auto"/>
      </w:divBdr>
    </w:div>
    <w:div w:id="985357612">
      <w:bodyDiv w:val="1"/>
      <w:marLeft w:val="0"/>
      <w:marRight w:val="0"/>
      <w:marTop w:val="0"/>
      <w:marBottom w:val="0"/>
      <w:divBdr>
        <w:top w:val="none" w:sz="0" w:space="0" w:color="auto"/>
        <w:left w:val="none" w:sz="0" w:space="0" w:color="auto"/>
        <w:bottom w:val="none" w:sz="0" w:space="0" w:color="auto"/>
        <w:right w:val="none" w:sz="0" w:space="0" w:color="auto"/>
      </w:divBdr>
    </w:div>
    <w:div w:id="1028063562">
      <w:bodyDiv w:val="1"/>
      <w:marLeft w:val="0"/>
      <w:marRight w:val="0"/>
      <w:marTop w:val="0"/>
      <w:marBottom w:val="0"/>
      <w:divBdr>
        <w:top w:val="none" w:sz="0" w:space="0" w:color="auto"/>
        <w:left w:val="none" w:sz="0" w:space="0" w:color="auto"/>
        <w:bottom w:val="none" w:sz="0" w:space="0" w:color="auto"/>
        <w:right w:val="none" w:sz="0" w:space="0" w:color="auto"/>
      </w:divBdr>
    </w:div>
    <w:div w:id="1047221913">
      <w:bodyDiv w:val="1"/>
      <w:marLeft w:val="0"/>
      <w:marRight w:val="0"/>
      <w:marTop w:val="0"/>
      <w:marBottom w:val="0"/>
      <w:divBdr>
        <w:top w:val="none" w:sz="0" w:space="0" w:color="auto"/>
        <w:left w:val="none" w:sz="0" w:space="0" w:color="auto"/>
        <w:bottom w:val="none" w:sz="0" w:space="0" w:color="auto"/>
        <w:right w:val="none" w:sz="0" w:space="0" w:color="auto"/>
      </w:divBdr>
    </w:div>
    <w:div w:id="1054886722">
      <w:bodyDiv w:val="1"/>
      <w:marLeft w:val="0"/>
      <w:marRight w:val="0"/>
      <w:marTop w:val="0"/>
      <w:marBottom w:val="0"/>
      <w:divBdr>
        <w:top w:val="none" w:sz="0" w:space="0" w:color="auto"/>
        <w:left w:val="none" w:sz="0" w:space="0" w:color="auto"/>
        <w:bottom w:val="none" w:sz="0" w:space="0" w:color="auto"/>
        <w:right w:val="none" w:sz="0" w:space="0" w:color="auto"/>
      </w:divBdr>
    </w:div>
    <w:div w:id="1065180744">
      <w:bodyDiv w:val="1"/>
      <w:marLeft w:val="0"/>
      <w:marRight w:val="0"/>
      <w:marTop w:val="0"/>
      <w:marBottom w:val="0"/>
      <w:divBdr>
        <w:top w:val="none" w:sz="0" w:space="0" w:color="auto"/>
        <w:left w:val="none" w:sz="0" w:space="0" w:color="auto"/>
        <w:bottom w:val="none" w:sz="0" w:space="0" w:color="auto"/>
        <w:right w:val="none" w:sz="0" w:space="0" w:color="auto"/>
      </w:divBdr>
    </w:div>
    <w:div w:id="1156995952">
      <w:bodyDiv w:val="1"/>
      <w:marLeft w:val="0"/>
      <w:marRight w:val="0"/>
      <w:marTop w:val="0"/>
      <w:marBottom w:val="0"/>
      <w:divBdr>
        <w:top w:val="none" w:sz="0" w:space="0" w:color="auto"/>
        <w:left w:val="none" w:sz="0" w:space="0" w:color="auto"/>
        <w:bottom w:val="none" w:sz="0" w:space="0" w:color="auto"/>
        <w:right w:val="none" w:sz="0" w:space="0" w:color="auto"/>
      </w:divBdr>
    </w:div>
    <w:div w:id="1186670821">
      <w:bodyDiv w:val="1"/>
      <w:marLeft w:val="0"/>
      <w:marRight w:val="0"/>
      <w:marTop w:val="0"/>
      <w:marBottom w:val="0"/>
      <w:divBdr>
        <w:top w:val="none" w:sz="0" w:space="0" w:color="auto"/>
        <w:left w:val="none" w:sz="0" w:space="0" w:color="auto"/>
        <w:bottom w:val="none" w:sz="0" w:space="0" w:color="auto"/>
        <w:right w:val="none" w:sz="0" w:space="0" w:color="auto"/>
      </w:divBdr>
    </w:div>
    <w:div w:id="1213233245">
      <w:bodyDiv w:val="1"/>
      <w:marLeft w:val="0"/>
      <w:marRight w:val="0"/>
      <w:marTop w:val="0"/>
      <w:marBottom w:val="0"/>
      <w:divBdr>
        <w:top w:val="none" w:sz="0" w:space="0" w:color="auto"/>
        <w:left w:val="none" w:sz="0" w:space="0" w:color="auto"/>
        <w:bottom w:val="none" w:sz="0" w:space="0" w:color="auto"/>
        <w:right w:val="none" w:sz="0" w:space="0" w:color="auto"/>
      </w:divBdr>
    </w:div>
    <w:div w:id="1329483631">
      <w:bodyDiv w:val="1"/>
      <w:marLeft w:val="0"/>
      <w:marRight w:val="0"/>
      <w:marTop w:val="0"/>
      <w:marBottom w:val="0"/>
      <w:divBdr>
        <w:top w:val="none" w:sz="0" w:space="0" w:color="auto"/>
        <w:left w:val="none" w:sz="0" w:space="0" w:color="auto"/>
        <w:bottom w:val="none" w:sz="0" w:space="0" w:color="auto"/>
        <w:right w:val="none" w:sz="0" w:space="0" w:color="auto"/>
      </w:divBdr>
    </w:div>
    <w:div w:id="1336613495">
      <w:bodyDiv w:val="1"/>
      <w:marLeft w:val="0"/>
      <w:marRight w:val="0"/>
      <w:marTop w:val="0"/>
      <w:marBottom w:val="0"/>
      <w:divBdr>
        <w:top w:val="none" w:sz="0" w:space="0" w:color="auto"/>
        <w:left w:val="none" w:sz="0" w:space="0" w:color="auto"/>
        <w:bottom w:val="none" w:sz="0" w:space="0" w:color="auto"/>
        <w:right w:val="none" w:sz="0" w:space="0" w:color="auto"/>
      </w:divBdr>
    </w:div>
    <w:div w:id="1367175172">
      <w:bodyDiv w:val="1"/>
      <w:marLeft w:val="0"/>
      <w:marRight w:val="0"/>
      <w:marTop w:val="0"/>
      <w:marBottom w:val="0"/>
      <w:divBdr>
        <w:top w:val="none" w:sz="0" w:space="0" w:color="auto"/>
        <w:left w:val="none" w:sz="0" w:space="0" w:color="auto"/>
        <w:bottom w:val="none" w:sz="0" w:space="0" w:color="auto"/>
        <w:right w:val="none" w:sz="0" w:space="0" w:color="auto"/>
      </w:divBdr>
    </w:div>
    <w:div w:id="1377779342">
      <w:bodyDiv w:val="1"/>
      <w:marLeft w:val="0"/>
      <w:marRight w:val="0"/>
      <w:marTop w:val="0"/>
      <w:marBottom w:val="0"/>
      <w:divBdr>
        <w:top w:val="none" w:sz="0" w:space="0" w:color="auto"/>
        <w:left w:val="none" w:sz="0" w:space="0" w:color="auto"/>
        <w:bottom w:val="none" w:sz="0" w:space="0" w:color="auto"/>
        <w:right w:val="none" w:sz="0" w:space="0" w:color="auto"/>
      </w:divBdr>
    </w:div>
    <w:div w:id="1391660451">
      <w:bodyDiv w:val="1"/>
      <w:marLeft w:val="0"/>
      <w:marRight w:val="0"/>
      <w:marTop w:val="0"/>
      <w:marBottom w:val="0"/>
      <w:divBdr>
        <w:top w:val="none" w:sz="0" w:space="0" w:color="auto"/>
        <w:left w:val="none" w:sz="0" w:space="0" w:color="auto"/>
        <w:bottom w:val="none" w:sz="0" w:space="0" w:color="auto"/>
        <w:right w:val="none" w:sz="0" w:space="0" w:color="auto"/>
      </w:divBdr>
    </w:div>
    <w:div w:id="1428649448">
      <w:bodyDiv w:val="1"/>
      <w:marLeft w:val="0"/>
      <w:marRight w:val="0"/>
      <w:marTop w:val="0"/>
      <w:marBottom w:val="0"/>
      <w:divBdr>
        <w:top w:val="none" w:sz="0" w:space="0" w:color="auto"/>
        <w:left w:val="none" w:sz="0" w:space="0" w:color="auto"/>
        <w:bottom w:val="none" w:sz="0" w:space="0" w:color="auto"/>
        <w:right w:val="none" w:sz="0" w:space="0" w:color="auto"/>
      </w:divBdr>
    </w:div>
    <w:div w:id="1564441536">
      <w:bodyDiv w:val="1"/>
      <w:marLeft w:val="0"/>
      <w:marRight w:val="0"/>
      <w:marTop w:val="0"/>
      <w:marBottom w:val="0"/>
      <w:divBdr>
        <w:top w:val="none" w:sz="0" w:space="0" w:color="auto"/>
        <w:left w:val="none" w:sz="0" w:space="0" w:color="auto"/>
        <w:bottom w:val="none" w:sz="0" w:space="0" w:color="auto"/>
        <w:right w:val="none" w:sz="0" w:space="0" w:color="auto"/>
      </w:divBdr>
    </w:div>
    <w:div w:id="1574119220">
      <w:bodyDiv w:val="1"/>
      <w:marLeft w:val="0"/>
      <w:marRight w:val="0"/>
      <w:marTop w:val="0"/>
      <w:marBottom w:val="0"/>
      <w:divBdr>
        <w:top w:val="none" w:sz="0" w:space="0" w:color="auto"/>
        <w:left w:val="none" w:sz="0" w:space="0" w:color="auto"/>
        <w:bottom w:val="none" w:sz="0" w:space="0" w:color="auto"/>
        <w:right w:val="none" w:sz="0" w:space="0" w:color="auto"/>
      </w:divBdr>
    </w:div>
    <w:div w:id="1783723586">
      <w:bodyDiv w:val="1"/>
      <w:marLeft w:val="0"/>
      <w:marRight w:val="0"/>
      <w:marTop w:val="0"/>
      <w:marBottom w:val="0"/>
      <w:divBdr>
        <w:top w:val="none" w:sz="0" w:space="0" w:color="auto"/>
        <w:left w:val="none" w:sz="0" w:space="0" w:color="auto"/>
        <w:bottom w:val="none" w:sz="0" w:space="0" w:color="auto"/>
        <w:right w:val="none" w:sz="0" w:space="0" w:color="auto"/>
      </w:divBdr>
    </w:div>
    <w:div w:id="1933512879">
      <w:bodyDiv w:val="1"/>
      <w:marLeft w:val="0"/>
      <w:marRight w:val="0"/>
      <w:marTop w:val="0"/>
      <w:marBottom w:val="0"/>
      <w:divBdr>
        <w:top w:val="none" w:sz="0" w:space="0" w:color="auto"/>
        <w:left w:val="none" w:sz="0" w:space="0" w:color="auto"/>
        <w:bottom w:val="none" w:sz="0" w:space="0" w:color="auto"/>
        <w:right w:val="none" w:sz="0" w:space="0" w:color="auto"/>
      </w:divBdr>
    </w:div>
    <w:div w:id="1952200775">
      <w:bodyDiv w:val="1"/>
      <w:marLeft w:val="0"/>
      <w:marRight w:val="0"/>
      <w:marTop w:val="0"/>
      <w:marBottom w:val="0"/>
      <w:divBdr>
        <w:top w:val="none" w:sz="0" w:space="0" w:color="auto"/>
        <w:left w:val="none" w:sz="0" w:space="0" w:color="auto"/>
        <w:bottom w:val="none" w:sz="0" w:space="0" w:color="auto"/>
        <w:right w:val="none" w:sz="0" w:space="0" w:color="auto"/>
      </w:divBdr>
    </w:div>
    <w:div w:id="2109349344">
      <w:bodyDiv w:val="1"/>
      <w:marLeft w:val="0"/>
      <w:marRight w:val="0"/>
      <w:marTop w:val="0"/>
      <w:marBottom w:val="0"/>
      <w:divBdr>
        <w:top w:val="none" w:sz="0" w:space="0" w:color="auto"/>
        <w:left w:val="none" w:sz="0" w:space="0" w:color="auto"/>
        <w:bottom w:val="none" w:sz="0" w:space="0" w:color="auto"/>
        <w:right w:val="none" w:sz="0" w:space="0" w:color="auto"/>
      </w:divBdr>
    </w:div>
    <w:div w:id="213197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chart" Target="charts/chart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6.xml"/><Relationship Id="rId28"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image" Target="media/image3.emf"/></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deptsite/docs/fin/bud/mon/1718/P12%20March/LIFT%20pivot%20tables%20(end%20of%20M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0"/>
          <c:order val="0"/>
          <c:tx>
            <c:strRef>
              <c:f>'TOP 5 debtors'!$J$6</c:f>
              <c:strCache>
                <c:ptCount val="1"/>
                <c:pt idx="0">
                  <c:v>Amount Outstanding</c:v>
                </c:pt>
              </c:strCache>
            </c:strRef>
          </c:tx>
          <c:spPr>
            <a:solidFill>
              <a:srgbClr val="92D050">
                <a:alpha val="50000"/>
              </a:srgbClr>
            </a:solidFill>
            <a:ln>
              <a:solidFill>
                <a:srgbClr val="92D050"/>
              </a:solidFill>
            </a:ln>
          </c:spPr>
          <c:cat>
            <c:numRef>
              <c:f>'TOP 5 debtors'!$I$7:$I$24</c:f>
              <c:numCache>
                <c:formatCode>mmm\-yy</c:formatCode>
                <c:ptCount val="18"/>
                <c:pt idx="0">
                  <c:v>42674</c:v>
                </c:pt>
                <c:pt idx="1">
                  <c:v>42704</c:v>
                </c:pt>
                <c:pt idx="2">
                  <c:v>42735</c:v>
                </c:pt>
                <c:pt idx="3">
                  <c:v>42766</c:v>
                </c:pt>
                <c:pt idx="4">
                  <c:v>42794</c:v>
                </c:pt>
                <c:pt idx="5">
                  <c:v>42825</c:v>
                </c:pt>
                <c:pt idx="6">
                  <c:v>42855</c:v>
                </c:pt>
                <c:pt idx="7">
                  <c:v>42886</c:v>
                </c:pt>
                <c:pt idx="8">
                  <c:v>42916</c:v>
                </c:pt>
                <c:pt idx="9">
                  <c:v>42947</c:v>
                </c:pt>
                <c:pt idx="10">
                  <c:v>42978</c:v>
                </c:pt>
                <c:pt idx="11">
                  <c:v>43008</c:v>
                </c:pt>
                <c:pt idx="12">
                  <c:v>43039</c:v>
                </c:pt>
                <c:pt idx="13">
                  <c:v>43069</c:v>
                </c:pt>
                <c:pt idx="14">
                  <c:v>43100</c:v>
                </c:pt>
                <c:pt idx="15">
                  <c:v>43131</c:v>
                </c:pt>
                <c:pt idx="16">
                  <c:v>43159</c:v>
                </c:pt>
                <c:pt idx="17">
                  <c:v>43190</c:v>
                </c:pt>
              </c:numCache>
            </c:numRef>
          </c:cat>
          <c:val>
            <c:numRef>
              <c:f>'TOP 5 debtors'!$J$7:$J$24</c:f>
              <c:numCache>
                <c:formatCode>#,##0,;\(#,##0,\)</c:formatCode>
                <c:ptCount val="18"/>
                <c:pt idx="0">
                  <c:v>195359.79999999987</c:v>
                </c:pt>
                <c:pt idx="1">
                  <c:v>192588.99999999988</c:v>
                </c:pt>
                <c:pt idx="2">
                  <c:v>183149.39999999982</c:v>
                </c:pt>
                <c:pt idx="3">
                  <c:v>178382.99999999991</c:v>
                </c:pt>
                <c:pt idx="4">
                  <c:v>168512.98999999982</c:v>
                </c:pt>
                <c:pt idx="5">
                  <c:v>164300.9999999998</c:v>
                </c:pt>
                <c:pt idx="6">
                  <c:v>170670.5999999998</c:v>
                </c:pt>
                <c:pt idx="7">
                  <c:v>170754.59999999983</c:v>
                </c:pt>
                <c:pt idx="8">
                  <c:v>162316.19999999978</c:v>
                </c:pt>
                <c:pt idx="9">
                  <c:v>143226.59999999986</c:v>
                </c:pt>
                <c:pt idx="10">
                  <c:v>136824.59999999998</c:v>
                </c:pt>
                <c:pt idx="11">
                  <c:v>146299.79999999996</c:v>
                </c:pt>
                <c:pt idx="12">
                  <c:v>140176.20000000001</c:v>
                </c:pt>
                <c:pt idx="13">
                  <c:v>129705.00000000004</c:v>
                </c:pt>
                <c:pt idx="14">
                  <c:v>131910.60000000003</c:v>
                </c:pt>
                <c:pt idx="15">
                  <c:v>134281.79999999996</c:v>
                </c:pt>
                <c:pt idx="16">
                  <c:v>98032</c:v>
                </c:pt>
                <c:pt idx="17">
                  <c:v>87518.799999999988</c:v>
                </c:pt>
              </c:numCache>
            </c:numRef>
          </c:val>
        </c:ser>
        <c:dLbls>
          <c:showLegendKey val="0"/>
          <c:showVal val="0"/>
          <c:showCatName val="0"/>
          <c:showSerName val="0"/>
          <c:showPercent val="0"/>
          <c:showBubbleSize val="0"/>
        </c:dLbls>
        <c:axId val="120657792"/>
        <c:axId val="120659328"/>
      </c:areaChart>
      <c:dateAx>
        <c:axId val="120657792"/>
        <c:scaling>
          <c:orientation val="minMax"/>
        </c:scaling>
        <c:delete val="0"/>
        <c:axPos val="b"/>
        <c:numFmt formatCode="mmm\-yy" sourceLinked="1"/>
        <c:majorTickMark val="out"/>
        <c:minorTickMark val="none"/>
        <c:tickLblPos val="nextTo"/>
        <c:crossAx val="120659328"/>
        <c:crosses val="autoZero"/>
        <c:auto val="1"/>
        <c:lblOffset val="100"/>
        <c:baseTimeUnit val="months"/>
      </c:dateAx>
      <c:valAx>
        <c:axId val="120659328"/>
        <c:scaling>
          <c:orientation val="minMax"/>
        </c:scaling>
        <c:delete val="0"/>
        <c:axPos val="l"/>
        <c:majorGridlines/>
        <c:numFmt formatCode="\£#,##0,&quot;k&quot;" sourceLinked="0"/>
        <c:majorTickMark val="out"/>
        <c:minorTickMark val="none"/>
        <c:tickLblPos val="nextTo"/>
        <c:crossAx val="120657792"/>
        <c:crosses val="autoZero"/>
        <c:crossBetween val="midCat"/>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Financial" ma:contentTypeID="0x010100BEE76EE765914F43BA8857678BFB4B3A2000DF12A40CE3380D47A02221CB4A0E96B5" ma:contentTypeVersion="57" ma:contentTypeDescription="" ma:contentTypeScope="" ma:versionID="98e881a9cda090a52a4e283164a11a27">
  <xsd:schema xmlns:xsd="http://www.w3.org/2001/XMLSchema" xmlns:xs="http://www.w3.org/2001/XMLSchema" xmlns:p="http://schemas.microsoft.com/office/2006/metadata/properties" xmlns:ns1="http://schemas.microsoft.com/sharepoint/v3" xmlns:ns2="7eae3ae8-492c-4ae9-a76e-e1e9718b9d4c" targetNamespace="http://schemas.microsoft.com/office/2006/metadata/properties" ma:root="true" ma:fieldsID="762a08f24bf2e6a7c4e9dce397ca5818" ns1:_="" ns2:_="">
    <xsd:import namespace="http://schemas.microsoft.com/sharepoint/v3"/>
    <xsd:import namespace="7eae3ae8-492c-4ae9-a76e-e1e9718b9d4c"/>
    <xsd:element name="properties">
      <xsd:complexType>
        <xsd:sequence>
          <xsd:element name="documentManagement">
            <xsd:complexType>
              <xsd:all>
                <xsd:element ref="ns2:DocumentDescription" minOccurs="0"/>
                <xsd:element ref="ns2:DocumentReference" minOccurs="0"/>
                <xsd:element ref="ns2:DocumentAuthor"/>
                <xsd:element ref="ns2:DocumentStatus"/>
                <xsd:element ref="ns2:DocumentDate"/>
                <xsd:element ref="ns2:DocumentPublisher"/>
                <xsd:element ref="ns2:ProtectiveMarking"/>
                <xsd:element ref="ns2:DocumentClassification" minOccurs="0"/>
                <xsd:element ref="ns2:eGMSSubject" minOccurs="0"/>
                <xsd:element ref="ns2:DPA" minOccurs="0"/>
                <xsd:element ref="ns1:_dlc_Exempt" minOccurs="0"/>
                <xsd:element ref="ns1:_dlc_ExpireDateSaved" minOccurs="0"/>
                <xsd:element ref="ns1:_dlc_ExpireDate" minOccurs="0"/>
                <xsd:element ref="ns2:TaxCatchAll" minOccurs="0"/>
                <xsd:element ref="ns2:TaxCatchAllLabel" minOccurs="0"/>
                <xsd:element ref="ns1:CSMeta2010Field" minOccurs="0"/>
                <xsd:element ref="ns2:ad52f50b11a442cd868dd94ad8cb4658" minOccurs="0"/>
                <xsd:element ref="ns2:Security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hidden="true" ma:internalName="_dlc_Exempt" ma:readOnly="true">
      <xsd:simpleType>
        <xsd:restriction base="dms:Unknown"/>
      </xsd:simpleType>
    </xsd:element>
    <xsd:element name="_dlc_ExpireDateSaved" ma:index="19" nillable="true" ma:displayName="Original Expiration Date" ma:hidden="true" ma:internalName="_dlc_ExpireDateSaved" ma:readOnly="true">
      <xsd:simpleType>
        <xsd:restriction base="dms:DateTime"/>
      </xsd:simpleType>
    </xsd:element>
    <xsd:element name="_dlc_ExpireDate" ma:index="20" nillable="true" ma:displayName="Expiration Date" ma:hidden="true" ma:internalName="_dlc_ExpireDate" ma:readOnly="true">
      <xsd:simpleType>
        <xsd:restriction base="dms:DateTime"/>
      </xsd:simpleType>
    </xsd:element>
    <xsd:element name="CSMeta2010Field" ma:index="25" nillable="true" ma:displayName="Classification Status" ma:internalName="CSMeta2010Fiel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e3ae8-492c-4ae9-a76e-e1e9718b9d4c"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 ma:internalName="DocumentDescription">
      <xsd:simpleType>
        <xsd:restriction base="dms:Note">
          <xsd:maxLength value="255"/>
        </xsd:restriction>
      </xsd:simpleType>
    </xsd:element>
    <xsd:element name="DocumentReference" ma:index="9" nillable="true" ma:displayName="Document Reference" ma:description="" ma:internalName="DocumentReference">
      <xsd:simpleType>
        <xsd:restriction base="dms:Text">
          <xsd:maxLength value="255"/>
        </xsd:restriction>
      </xsd:simpleType>
    </xsd:element>
    <xsd:element name="DocumentAuthor" ma:index="10" ma:displayName="Document Author" ma:description="" ma:internalName="DocumentAuthor" ma:readOnly="false">
      <xsd:simpleType>
        <xsd:restriction base="dms:Text"/>
      </xsd:simpleType>
    </xsd:element>
    <xsd:element name="DocumentStatus" ma:index="11" ma:displayName="Document Status" ma:default="Draft" ma:description="" ma:format="Dropdown" ma:internalName="DocumentStatus" ma:readOnly="false">
      <xsd:simpleType>
        <xsd:restriction base="dms:Choice">
          <xsd:enumeration value="Draft"/>
          <xsd:enumeration value="Final"/>
        </xsd:restriction>
      </xsd:simpleType>
    </xsd:element>
    <xsd:element name="DocumentDate" ma:index="12" ma:displayName="Document Date" ma:default="[today]" ma:description="" ma:format="DateOnly" ma:internalName="DocumentDate" ma:readOnly="false">
      <xsd:simpleType>
        <xsd:restriction base="dms:DateTime"/>
      </xsd:simpleType>
    </xsd:element>
    <xsd:element name="DocumentPublisher" ma:index="13" ma:displayName="Document Publisher" ma:default="LFB" ma:description="" ma:internalName="DocumentPublisher" ma:readOnly="false">
      <xsd:simpleType>
        <xsd:restriction base="dms:Text">
          <xsd:maxLength value="255"/>
        </xsd:restriction>
      </xsd:simpleType>
    </xsd:element>
    <xsd:element name="ProtectiveMarking" ma:index="14" ma:displayName="Protective Marking" ma:default="Not Protected" ma:format="Dropdown" ma:internalName="ProtectiveMarking" ma:readOnly="false">
      <xsd:simpleType>
        <xsd:restriction base="dms:Choice">
          <xsd:enumeration value="Not Protected"/>
          <xsd:enumeration value="Protect"/>
          <xsd:enumeration value="Restricted"/>
          <xsd:enumeration value="Confidential"/>
          <xsd:enumeration value="Secret"/>
          <xsd:enumeration value="Top secret"/>
        </xsd:restriction>
      </xsd:simpleType>
    </xsd:element>
    <xsd:element name="DocumentClassification" ma:index="15" nillable="true" ma:displayName="Document Classification" ma:description="" ma:internalName="DocumentClassification">
      <xsd:simpleType>
        <xsd:restriction base="dms:Text">
          <xsd:maxLength value="255"/>
        </xsd:restriction>
      </xsd:simpleType>
    </xsd:element>
    <xsd:element name="eGMSSubject" ma:index="16" nillable="true" ma:displayName="e-GMS Subject" ma:description="" ma:hidden="true" ma:internalName="eGMSSubject" ma:readOnly="false">
      <xsd:simpleType>
        <xsd:restriction base="dms:Text">
          <xsd:maxLength value="255"/>
        </xsd:restriction>
      </xsd:simpleType>
    </xsd:element>
    <xsd:element name="DPA" ma:index="17" nillable="true" ma:displayName="DPA" ma:description="" ma:format="Dropdown" ma:hidden="true" ma:internalName="DPA" ma:readOnly="false">
      <xsd:simpleType>
        <xsd:restriction base="dms:Choice">
          <xsd:enumeration value="Yes"/>
          <xsd:enumeration value="No"/>
        </xsd:restriction>
      </xsd:simpleType>
    </xsd:element>
    <xsd:element name="TaxCatchAll" ma:index="22" nillable="true" ma:displayName="Taxonomy Catch All Column" ma:description="" ma:hidden="true" ma:list="{3e0efe80-e62b-4a41-9bc0-f070d1898185}" ma:internalName="TaxCatchAll" ma:showField="CatchAllData" ma:web="1d819d5d-bd63-40e4-ba87-c07926172e8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3e0efe80-e62b-4a41-9bc0-f070d1898185}" ma:internalName="TaxCatchAllLabel" ma:readOnly="true" ma:showField="CatchAllDataLabel" ma:web="1d819d5d-bd63-40e4-ba87-c07926172e82">
      <xsd:complexType>
        <xsd:complexContent>
          <xsd:extension base="dms:MultiChoiceLookup">
            <xsd:sequence>
              <xsd:element name="Value" type="dms:Lookup" maxOccurs="unbounded" minOccurs="0" nillable="true"/>
            </xsd:sequence>
          </xsd:extension>
        </xsd:complexContent>
      </xsd:complexType>
    </xsd:element>
    <xsd:element name="ad52f50b11a442cd868dd94ad8cb4658" ma:index="26" nillable="true" ma:taxonomy="true" ma:internalName="ad52f50b11a442cd868dd94ad8cb4658" ma:taxonomyFieldName="Business_x0020_Topic" ma:displayName="Business Topic" ma:default="" ma:fieldId="{ad52f50b-11a4-42cd-868d-d94ad8cb4658}" ma:taxonomyMulti="true" ma:sspId="58ceb878-6ae7-449f-bd9e-b4a81739a89e" ma:termSetId="82662044-415e-48fb-91ab-2b8944938a6a" ma:anchorId="00000000-0000-0000-0000-000000000000" ma:open="false" ma:isKeyword="false">
      <xsd:complexType>
        <xsd:sequence>
          <xsd:element ref="pc:Terms" minOccurs="0" maxOccurs="1"/>
        </xsd:sequence>
      </xsd:complexType>
    </xsd:element>
    <xsd:element name="SecurityClassification" ma:index="27" ma:displayName="Security Classification" ma:default="Official" ma:description="" ma:format="Dropdown" ma:internalName="SecurityClassification" ma:readOnly="false">
      <xsd:simpleType>
        <xsd:restriction base="dms:Choice">
          <xsd:enumeration value="Official"/>
          <xsd:enumeration value="Official - Sensitive"/>
          <xsd:enumeration value="Official - Sensitive - Personal Data"/>
          <xsd:enumeration value="Official - Sensitive - Commercial"/>
          <xsd:enumeration value="Official - Sensitive - Legal Privilege"/>
          <xsd:enumeration value="Official - Sensitive - Ops Security"/>
          <xsd:enumeration value="Official - Sensitive - Health and Safe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olicyDirtyBag xmlns="microsoft.office.server.policy.changes">
  <Microsoft.Office.RecordsManagement.PolicyFeatures.PolicyAudit xmlns="" op="Change"/>
  <Microsoft.Office.RecordsManagement.PolicyFeatures.Expiration xmlns="" op="Change"/>
</PolicyDirtyBag>
</file>

<file path=customXml/item4.xml><?xml version="1.0" encoding="utf-8"?>
<p:properties xmlns:p="http://schemas.microsoft.com/office/2006/metadata/properties" xmlns:xsi="http://www.w3.org/2001/XMLSchema-instance" xmlns:pc="http://schemas.microsoft.com/office/infopath/2007/PartnerControls">
  <documentManagement>
    <TaxCatchAll xmlns="7eae3ae8-492c-4ae9-a76e-e1e9718b9d4c">
      <Value>9</Value>
    </TaxCatchAll>
    <DocumentClassification xmlns="7eae3ae8-492c-4ae9-a76e-e1e9718b9d4c" xsi:nil="true"/>
    <DocumentAuthor xmlns="7eae3ae8-492c-4ae9-a76e-e1e9718b9d4c">lead business partner</DocumentAuthor>
    <DocumentPublisher xmlns="7eae3ae8-492c-4ae9-a76e-e1e9718b9d4c">LFB</DocumentPublisher>
    <DPA xmlns="7eae3ae8-492c-4ae9-a76e-e1e9718b9d4c">No</DPA>
    <DocumentDate xmlns="7eae3ae8-492c-4ae9-a76e-e1e9718b9d4c">2017-02-08T10:28:08+00:00</DocumentDate>
    <eGMSSubject xmlns="7eae3ae8-492c-4ae9-a76e-e1e9718b9d4c" xsi:nil="true"/>
    <DocumentStatus xmlns="7eae3ae8-492c-4ae9-a76e-e1e9718b9d4c">Draft</DocumentStatus>
    <DocumentDescription xmlns="7eae3ae8-492c-4ae9-a76e-e1e9718b9d4c" xsi:nil="true"/>
    <DocumentReference xmlns="7eae3ae8-492c-4ae9-a76e-e1e9718b9d4c" xsi:nil="true"/>
    <ProtectiveMarking xmlns="7eae3ae8-492c-4ae9-a76e-e1e9718b9d4c">Not Protected</ProtectiveMarking>
    <_dlc_ExpireDateSaved xmlns="http://schemas.microsoft.com/sharepoint/v3" xsi:nil="true"/>
    <_dlc_ExpireDate xmlns="http://schemas.microsoft.com/sharepoint/v3">2019-12-14T16:54:08+00:00</_dlc_ExpireDate>
    <SecurityClassification xmlns="7eae3ae8-492c-4ae9-a76e-e1e9718b9d4c">Official</SecurityClassification>
    <CSMeta2010Field xmlns="http://schemas.microsoft.com/sharepoint/v3">4a30c48f-d043-4e68-949d-8c7ce6465e04;2018-06-14 16:54:22;PENDINGCLASSIFICATION;Business Topic:2018-06-12 15:04:17|False|2018-06-12 15:04:33|MANUALCLASSIFIED|2018-06-12 15:04:33|UNDEFINED;False</CSMeta2010Field>
    <ad52f50b11a442cd868dd94ad8cb4658 xmlns="7eae3ae8-492c-4ae9-a76e-e1e9718b9d4c">
      <Terms xmlns="http://schemas.microsoft.com/office/infopath/2007/PartnerControls">
        <TermInfo xmlns="http://schemas.microsoft.com/office/infopath/2007/PartnerControls">
          <TermName xmlns="http://schemas.microsoft.com/office/infopath/2007/PartnerControls">Resources:Collections:Library</TermName>
          <TermId xmlns="http://schemas.microsoft.com/office/infopath/2007/PartnerControls">be534702-43d5-44cf-aa6c-7394c92a0445</TermId>
        </TermInfo>
      </Terms>
    </ad52f50b11a442cd868dd94ad8cb4658>
  </documentManagement>
</p:properties>
</file>

<file path=customXml/item5.xml><?xml version="1.0" encoding="utf-8"?>
<?mso-contentType ?>
<SharedContentType xmlns="Microsoft.SharePoint.Taxonomy.ContentTypeSync" SourceId="58ceb878-6ae7-449f-bd9e-b4a81739a89e" ContentTypeId="0x010100BEE76EE765914F43BA8857678BFB4B3A20" PreviousValue="false"/>
</file>

<file path=customXml/item6.xml><?xml version="1.0" encoding="utf-8"?>
<?mso-contentType ?>
<p:Policy xmlns:p="office.server.policy" id="" local="true">
  <p:Name>Financial</p:Name>
  <p:Description>Documents are moved to the record centre after 18 months</p:Description>
  <p:Statement>This document is subject to an 18 month retention policy. This policy moves the document to the records centre 18 months after the date upon which it was last modified within the departmental workspace.</p:Statement>
  <p:PolicyItems>
    <p:PolicyItem featureId="Microsoft.Office.RecordsManagement.PolicyFeatures.PolicyAudit">
      <p:Name>Auditing</p:Name>
      <p:Description>Audits user actions on documents and list items to the Audit Log.</p:Description>
      <p:CustomData>
        <Audit>
          <Update/>
          <MoveCopy/>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18</number>
            <property>Modified</property>
            <period>months</period>
          </formula>
          <action type="workflow" id="9771b7a6-918e-4a6c-8787-e5d77c26231a"/>
        </data>
      </p:CustomData>
    </p:PolicyItem>
  </p:PolicyItems>
</p:Policy>
</file>

<file path=customXml/item7.xml><?xml version="1.0" encoding="utf-8"?>
<?mso-contentType ?>
<spe:Receivers xmlns:spe="http://schemas.microsoft.com/sharepoint/events">
  <Receiver>
    <Name>Policy Auditing</Name>
    <Type>10001</Type>
    <SequenceNumber>1100</SequenceNumber>
    <Assembly>Microsoft.Office.Policy, Version=14.0.0.0, Culture=neutral, PublicKeyToken=71e9bce111e9429c</Assembly>
    <Class>Microsoft.Office.RecordsManagement.Internal.AuditHandler</Class>
    <Data/>
    <Filter/>
  </Receiver>
  <Receiver>
    <Name>Policy Auditing</Name>
    <Type>10002</Type>
    <SequenceNumber>1101</SequenceNumber>
    <Assembly>Microsoft.Office.Policy, Version=14.0.0.0, Culture=neutral, PublicKeyToken=71e9bce111e9429c</Assembly>
    <Class>Microsoft.Office.RecordsManagement.Internal.AuditHandler</Class>
    <Data/>
    <Filter/>
  </Receiver>
  <Receiver>
    <Name>Policy Auditing</Name>
    <Type>10004</Type>
    <SequenceNumber>1102</SequenceNumber>
    <Assembly>Microsoft.Office.Policy, Version=14.0.0.0, Culture=neutral, PublicKeyToken=71e9bce111e9429c</Assembly>
    <Class>Microsoft.Office.RecordsManagement.Internal.AuditHandler</Class>
    <Data/>
    <Filter/>
  </Receiver>
  <Receiver>
    <Name>Policy Auditing</Name>
    <Type>10006</Type>
    <SequenceNumber>1103</SequenceNumber>
    <Assembly>Microsoft.Office.Policy, Version=14.0.0.0,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Version=14.0.0.0, Culture=neutral, PublicKeyToken=71e9bce111e9429c</Assembly>
    <Class>Microsoft.Office.RecordsManagement.Internal.UpdateExpireDate</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DAB47-00CB-4574-906D-A470791BD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ae3ae8-492c-4ae9-a76e-e1e9718b9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71985-F43E-4178-8925-4D65CBA525CD}">
  <ds:schemaRefs>
    <ds:schemaRef ds:uri="http://schemas.microsoft.com/sharepoint/v3/contenttype/forms"/>
  </ds:schemaRefs>
</ds:datastoreItem>
</file>

<file path=customXml/itemProps3.xml><?xml version="1.0" encoding="utf-8"?>
<ds:datastoreItem xmlns:ds="http://schemas.openxmlformats.org/officeDocument/2006/customXml" ds:itemID="{08ADA451-4E1D-4EFA-A896-E3CAE94B4C73}">
  <ds:schemaRefs>
    <ds:schemaRef ds:uri="microsoft.office.server.policy.changes"/>
    <ds:schemaRef ds:uri=""/>
  </ds:schemaRefs>
</ds:datastoreItem>
</file>

<file path=customXml/itemProps4.xml><?xml version="1.0" encoding="utf-8"?>
<ds:datastoreItem xmlns:ds="http://schemas.openxmlformats.org/officeDocument/2006/customXml" ds:itemID="{495BEB81-B25F-43C1-A7F9-D003C069A6BB}">
  <ds:schemaRefs>
    <ds:schemaRef ds:uri="http://schemas.microsoft.com/office/2006/metadata/properties"/>
    <ds:schemaRef ds:uri="http://schemas.microsoft.com/office/infopath/2007/PartnerControls"/>
    <ds:schemaRef ds:uri="7eae3ae8-492c-4ae9-a76e-e1e9718b9d4c"/>
    <ds:schemaRef ds:uri="http://schemas.microsoft.com/sharepoint/v3"/>
  </ds:schemaRefs>
</ds:datastoreItem>
</file>

<file path=customXml/itemProps5.xml><?xml version="1.0" encoding="utf-8"?>
<ds:datastoreItem xmlns:ds="http://schemas.openxmlformats.org/officeDocument/2006/customXml" ds:itemID="{D2A1823F-3BA7-434F-919E-9FE31C86523A}">
  <ds:schemaRefs>
    <ds:schemaRef ds:uri="Microsoft.SharePoint.Taxonomy.ContentTypeSync"/>
  </ds:schemaRefs>
</ds:datastoreItem>
</file>

<file path=customXml/itemProps6.xml><?xml version="1.0" encoding="utf-8"?>
<ds:datastoreItem xmlns:ds="http://schemas.openxmlformats.org/officeDocument/2006/customXml" ds:itemID="{02345A1E-1901-4D9B-AB19-6E747B716CFA}">
  <ds:schemaRefs>
    <ds:schemaRef ds:uri="office.server.policy"/>
  </ds:schemaRefs>
</ds:datastoreItem>
</file>

<file path=customXml/itemProps7.xml><?xml version="1.0" encoding="utf-8"?>
<ds:datastoreItem xmlns:ds="http://schemas.openxmlformats.org/officeDocument/2006/customXml" ds:itemID="{C0600935-8E3D-4FE1-B5A9-631F452182CA}">
  <ds:schemaRefs>
    <ds:schemaRef ds:uri="http://schemas.microsoft.com/sharepoint/events"/>
  </ds:schemaRefs>
</ds:datastoreItem>
</file>

<file path=customXml/itemProps8.xml><?xml version="1.0" encoding="utf-8"?>
<ds:datastoreItem xmlns:ds="http://schemas.openxmlformats.org/officeDocument/2006/customXml" ds:itemID="{2E362631-76D6-44E8-8D49-D096C6B5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8682</Words>
  <Characters>49493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Brochet</Company>
  <LinksUpToDate>false</LinksUpToDate>
  <CharactersWithSpaces>58059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littleg</dc:creator>
  <cp:lastModifiedBy>sokoyao</cp:lastModifiedBy>
  <cp:revision>6</cp:revision>
  <cp:lastPrinted>2018-06-14T14:43:00Z</cp:lastPrinted>
  <dcterms:created xsi:type="dcterms:W3CDTF">2018-06-14T14:22:00Z</dcterms:created>
  <dcterms:modified xsi:type="dcterms:W3CDTF">2018-06-14T15:50:00Z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0x010100BEE76EE765914F43BA8857678BFB4B3A2000DF12A40CE3380D47A02221CB4A0E96B5</vt:lpwstr>
  </property>
  <property fmtid="{D5CDD505-2E9C-101B-9397-08002B2CF9AE}" pid="3" name="_dlc_policyId">
    <vt:lpwstr/>
  </property>
  <property fmtid="{D5CDD505-2E9C-101B-9397-08002B2CF9AE}" pid="4" name="ItemRetentionFormula">
    <vt:lpwstr>&lt;formula id="Microsoft.Office.RecordsManagement.PolicyFeatures.Expiration.Formula.BuiltIn"&gt;&lt;number&gt;18&lt;/number&gt;&lt;property&gt;Modified&lt;/property&gt;&lt;period&gt;months&lt;/period&gt;&lt;/formula&gt;</vt:lpwstr>
  </property>
  <property fmtid="{D5CDD505-2E9C-101B-9397-08002B2CF9AE}" pid="5" name="Business Topic">
    <vt:lpwstr>9;#Resources:Collections:Library|be534702-43d5-44cf-aa6c-7394c92a0445</vt:lpwstr>
  </property>
</Properties>
</file>