
<file path=[Content_Types].xml><?xml version="1.0" encoding="utf-8"?>
<Types xmlns="http://schemas.openxmlformats.org/package/2006/content-types">
  <Default Extension="bin" ContentType="application/vnd.openxmlformats-officedocument.spreadsheetml.printerSettings"/>
  <Default Extension="png" ContentType="image/png"/>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drawings/drawing1.xml" ContentType="application/vnd.openxmlformats-officedocument.drawing+xml"/>
  <Override PartName="/xl/drawings/drawing2.xml" ContentType="application/vnd.openxmlformats-officedocument.drawing+xml"/>
  <Override PartName="/xl/drawings/drawing3.xml" ContentType="application/vnd.openxmlformats-officedocument.drawing+xml"/>
  <Override PartName="/xl/calcChain.xml" ContentType="application/vnd.openxmlformats-officedocument.spreadsheetml.calcCh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30131"/>
  <workbookPr filterPrivacy="1" defaultThemeVersion="166925"/>
  <xr:revisionPtr revIDLastSave="0" documentId="8_{5C82E3E7-E810-4FF6-A246-8BF36C85B723}" xr6:coauthVersionLast="47" xr6:coauthVersionMax="47" xr10:uidLastSave="{00000000-0000-0000-0000-000000000000}"/>
  <bookViews>
    <workbookView xWindow="-110" yWindow="-110" windowWidth="38620" windowHeight="21100" activeTab="1" xr2:uid="{00000000-000D-0000-FFFF-FFFF00000000}"/>
  </bookViews>
  <sheets>
    <sheet name="Case details" sheetId="2" r:id="rId1"/>
    <sheet name="Energy Comments" sheetId="1" r:id="rId2"/>
    <sheet name="CO2 performance" sheetId="3" r:id="rId3"/>
  </sheets>
  <calcPr calcId="191028"/>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calcChain.xml><?xml version="1.0" encoding="utf-8"?>
<calcChain xmlns="http://schemas.openxmlformats.org/spreadsheetml/2006/main">
  <c r="D36" i="1" l="1"/>
  <c r="A5" i="3" l="1"/>
  <c r="F5" i="3" s="1"/>
  <c r="A58" i="1"/>
  <c r="G17" i="1"/>
  <c r="A74" i="1"/>
  <c r="G19" i="1" s="1"/>
  <c r="G18" i="1"/>
  <c r="A70" i="1"/>
  <c r="G21" i="1" s="1"/>
  <c r="A68" i="1"/>
  <c r="G14" i="1" s="1"/>
  <c r="A67" i="1"/>
  <c r="G12" i="1" s="1"/>
  <c r="A65" i="1"/>
  <c r="G26" i="1" s="1"/>
  <c r="A64" i="1"/>
  <c r="G23" i="1" s="1"/>
  <c r="A62" i="1"/>
  <c r="G30" i="1" s="1"/>
  <c r="A61" i="1"/>
  <c r="A59" i="1"/>
  <c r="G27" i="1" s="1"/>
  <c r="A72" i="1"/>
  <c r="G10" i="1" s="1"/>
  <c r="A57" i="1"/>
  <c r="A55" i="1"/>
  <c r="G16" i="1" s="1"/>
  <c r="A15" i="3"/>
  <c r="F15" i="3" s="1"/>
  <c r="B51" i="1"/>
  <c r="B49" i="1"/>
  <c r="I19" i="3"/>
  <c r="I20" i="3"/>
  <c r="I21" i="3"/>
  <c r="I18" i="3"/>
  <c r="I9" i="3"/>
  <c r="I10" i="3"/>
  <c r="I11" i="3"/>
  <c r="I8" i="3"/>
  <c r="G26" i="3"/>
  <c r="H26" i="3"/>
  <c r="G27" i="3"/>
  <c r="H27" i="3"/>
  <c r="H28" i="3"/>
  <c r="G28" i="3"/>
  <c r="H18" i="3"/>
  <c r="H19" i="3"/>
  <c r="H20" i="3"/>
  <c r="H21" i="3"/>
  <c r="H8" i="3"/>
  <c r="H9" i="3"/>
  <c r="H10" i="3"/>
  <c r="H11" i="3"/>
  <c r="B27" i="3"/>
  <c r="B28" i="3" s="1"/>
  <c r="B26" i="3"/>
  <c r="C26" i="3"/>
  <c r="C27" i="3"/>
  <c r="C28" i="3" s="1"/>
  <c r="D35" i="1" s="1"/>
  <c r="C20" i="3"/>
  <c r="D20" i="3" s="1"/>
  <c r="C19" i="3"/>
  <c r="D19" i="3" s="1"/>
  <c r="C18" i="3"/>
  <c r="C9" i="3"/>
  <c r="D9" i="3" s="1"/>
  <c r="C10" i="3"/>
  <c r="D10" i="3" s="1"/>
  <c r="C8" i="3"/>
  <c r="D8" i="3"/>
  <c r="D18" i="3"/>
  <c r="C11" i="3"/>
  <c r="D11" i="3" s="1"/>
  <c r="D33" i="1" s="1"/>
  <c r="G9" i="1" l="1"/>
  <c r="G7" i="1"/>
  <c r="C21" i="3"/>
  <c r="D21" i="3" s="1"/>
  <c r="D34" i="1" s="1"/>
  <c r="G29" i="1"/>
  <c r="G20" i="1"/>
  <c r="G13" i="1"/>
  <c r="G11" i="1"/>
  <c r="G8" i="1"/>
  <c r="G25" i="1"/>
  <c r="G24" i="1"/>
</calcChain>
</file>

<file path=xl/sharedStrings.xml><?xml version="1.0" encoding="utf-8"?>
<sst xmlns="http://schemas.openxmlformats.org/spreadsheetml/2006/main" count="243" uniqueCount="181">
  <si>
    <t xml:space="preserve">Energy Memo: GLA Consultation </t>
  </si>
  <si>
    <t>Case details</t>
  </si>
  <si>
    <t xml:space="preserve">Date of first review: </t>
  </si>
  <si>
    <t>Case Name:</t>
  </si>
  <si>
    <t>Case Number:</t>
  </si>
  <si>
    <t>Case Officer:</t>
  </si>
  <si>
    <t>London Borough:</t>
  </si>
  <si>
    <t>Application Type 
(Outline/Hybrid/Detailed):</t>
  </si>
  <si>
    <t>Applicant:</t>
  </si>
  <si>
    <t>Energy Consultant:</t>
  </si>
  <si>
    <t>Document Title:</t>
  </si>
  <si>
    <t>Document Date:</t>
  </si>
  <si>
    <t>Development proposals</t>
  </si>
  <si>
    <t>Use</t>
  </si>
  <si>
    <t>Floorspace/Number of units</t>
  </si>
  <si>
    <t>Energy Use Intensity and Space Heating Demand Reporting</t>
  </si>
  <si>
    <t>Compliance Schedule - To be completed by the GLA Energy Officer</t>
  </si>
  <si>
    <t>Policy</t>
  </si>
  <si>
    <t>Policy Sub-Area</t>
  </si>
  <si>
    <t>Required Data (In line with EAG)</t>
  </si>
  <si>
    <t>Status</t>
  </si>
  <si>
    <t>Policy Compliance</t>
  </si>
  <si>
    <t>GLA Comment Reference</t>
  </si>
  <si>
    <r>
      <rPr>
        <b/>
        <sz val="16"/>
        <color theme="1"/>
        <rFont val="Foundry Form Sans"/>
      </rPr>
      <t xml:space="preserve">SI 2 - Minimising Greenhouse Gas Emissions </t>
    </r>
    <r>
      <rPr>
        <b/>
        <sz val="11"/>
        <color theme="1"/>
        <rFont val="Foundry Form Sans"/>
      </rPr>
      <t xml:space="preserve">
(excluding SI-2-F- WLC; separate WLC consultation required)</t>
    </r>
  </si>
  <si>
    <t>Be Lean emissions reduction</t>
  </si>
  <si>
    <t>Details of energy efficiency measures</t>
  </si>
  <si>
    <t>Alignment with Cooling and Overheating</t>
  </si>
  <si>
    <t>Be Lean 10% and/or 15% reduction achieved</t>
  </si>
  <si>
    <t>EUI and space heating demands provided</t>
  </si>
  <si>
    <t>Be Clean</t>
  </si>
  <si>
    <t>SI 3 - Energy Infrastructure data provided (see below)</t>
  </si>
  <si>
    <t>Be Green
Renewable generation maximisation</t>
  </si>
  <si>
    <t xml:space="preserve">Roof Layout detailing maximised PV proposal </t>
  </si>
  <si>
    <t>PV array metrics provided</t>
  </si>
  <si>
    <t>Heat Pump arrangement confirmed</t>
  </si>
  <si>
    <t>Total carbon reduction on-site</t>
  </si>
  <si>
    <t>Confirmation of carbon emission factors used</t>
  </si>
  <si>
    <t>GLA carbon emission reporting spreadsheet v2.0</t>
  </si>
  <si>
    <t>Supporting Modelling Outputs (BRUKLs/DER Worksheets)</t>
  </si>
  <si>
    <t>On-site minimum met</t>
  </si>
  <si>
    <t>Carbon offset payment confirmed</t>
  </si>
  <si>
    <t>Draft S106 wording of carbon offset (from borough)</t>
  </si>
  <si>
    <t>Be Seen commitment provided</t>
  </si>
  <si>
    <t>Written confirmation/understanding of data requirements</t>
  </si>
  <si>
    <t>Confirmation of Planning Stage 1 submission</t>
  </si>
  <si>
    <t>SI 3 - Energy Infrastructure</t>
  </si>
  <si>
    <t xml:space="preserve">Aligned with heating hierarchy </t>
  </si>
  <si>
    <t>Applicant/Heat Network Stakeholder correspondence</t>
  </si>
  <si>
    <t>Heating system details provided</t>
  </si>
  <si>
    <t>Acceptable Design</t>
  </si>
  <si>
    <t>Futureproofed DHN connection drawings</t>
  </si>
  <si>
    <t>Site heat network drawings</t>
  </si>
  <si>
    <t>Details of management measures proposed</t>
  </si>
  <si>
    <t>CIBSE dynamic overheating analysis</t>
  </si>
  <si>
    <t>Confirmation that cooling criteria have been met</t>
  </si>
  <si>
    <t>Application Metrics</t>
  </si>
  <si>
    <t>Outline Value (if applicable)</t>
  </si>
  <si>
    <t>Detailed Stage 1 Value</t>
  </si>
  <si>
    <t>Detailed Final Value</t>
  </si>
  <si>
    <t>Domestic carbon emissions</t>
  </si>
  <si>
    <t xml:space="preserve">Non-domestic carbon emissions </t>
  </si>
  <si>
    <t>Carbon offset payment amount</t>
  </si>
  <si>
    <t>kWp renewable generation capacity</t>
  </si>
  <si>
    <t xml:space="preserve">kWh annual renewable energy generation </t>
  </si>
  <si>
    <t>Sqm of proposed PV array</t>
  </si>
  <si>
    <t>Calculated SCOP of heat pumps</t>
  </si>
  <si>
    <t>Heat fraction provided by heat pumps</t>
  </si>
  <si>
    <t>Flow/Return temperatures proposed</t>
  </si>
  <si>
    <t>Distribution loss assumption</t>
  </si>
  <si>
    <t>Energy Use Intensity</t>
  </si>
  <si>
    <t>Space Heating Demand</t>
  </si>
  <si>
    <t>Innovative Features</t>
  </si>
  <si>
    <r>
      <t xml:space="preserve">Detailed Comments - Applicant </t>
    </r>
    <r>
      <rPr>
        <b/>
        <u/>
        <sz val="18"/>
        <color theme="1"/>
        <rFont val="Foundry Form Sans"/>
      </rPr>
      <t>MUST</t>
    </r>
    <r>
      <rPr>
        <b/>
        <sz val="18"/>
        <color theme="1"/>
        <rFont val="Foundry Form Sans"/>
      </rPr>
      <t xml:space="preserve"> provide detailed responses to the below items</t>
    </r>
  </si>
  <si>
    <t xml:space="preserve">Comment No. </t>
  </si>
  <si>
    <t xml:space="preserve">GLA Stage I </t>
  </si>
  <si>
    <t>Applicant's Stage I response</t>
  </si>
  <si>
    <t>GLA Post Stage I response</t>
  </si>
  <si>
    <t>Applicant's Post Stage I response</t>
  </si>
  <si>
    <t>Documents to be secured</t>
  </si>
  <si>
    <t>General compliance comments</t>
  </si>
  <si>
    <t xml:space="preserve">Be Lean </t>
  </si>
  <si>
    <t>Overheating</t>
  </si>
  <si>
    <t>Be Green</t>
  </si>
  <si>
    <t>Be Seen Energy Monitoring</t>
  </si>
  <si>
    <t xml:space="preserve">Other points </t>
  </si>
  <si>
    <t xml:space="preserve">Move resolved comments under this section </t>
  </si>
  <si>
    <t>Received; SAP 10.2 proposed and nothing further required</t>
  </si>
  <si>
    <t>Received; SAP 10 proposed and nothing further required</t>
  </si>
  <si>
    <t>Received; SAP 2012 proposed and nothing further required</t>
  </si>
  <si>
    <t>Received; SAP 10.2 proposed but items still outstanding</t>
  </si>
  <si>
    <t>Received; SAP 10 proposed but items still outstanding</t>
  </si>
  <si>
    <t>Received; SAP 2012 proposed but items still outstanding</t>
  </si>
  <si>
    <t>Not yet received - applicant to submit and provide reference ---&gt;</t>
  </si>
  <si>
    <t>N/A</t>
  </si>
  <si>
    <t>Unhide Column F-I if Hybrid Application</t>
  </si>
  <si>
    <r>
      <t xml:space="preserve">Domestic </t>
    </r>
    <r>
      <rPr>
        <b/>
        <sz val="16"/>
        <color rgb="FFFF0000"/>
        <rFont val="Foundry Form Sans"/>
      </rPr>
      <t>(outline/detailed)</t>
    </r>
  </si>
  <si>
    <r>
      <t>Total residual regulated CO</t>
    </r>
    <r>
      <rPr>
        <b/>
        <vertAlign val="subscript"/>
        <sz val="11"/>
        <color theme="1"/>
        <rFont val="Foundry Form Sans"/>
      </rPr>
      <t>2</t>
    </r>
    <r>
      <rPr>
        <b/>
        <sz val="11"/>
        <color theme="1"/>
        <rFont val="Foundry Form Sans"/>
      </rPr>
      <t xml:space="preserve"> emissions</t>
    </r>
  </si>
  <si>
    <r>
      <t>Regulated CO</t>
    </r>
    <r>
      <rPr>
        <b/>
        <vertAlign val="subscript"/>
        <sz val="11"/>
        <color theme="1"/>
        <rFont val="Foundry Form Sans"/>
      </rPr>
      <t>2</t>
    </r>
    <r>
      <rPr>
        <b/>
        <sz val="11"/>
        <color theme="1"/>
        <rFont val="Foundry Form Sans"/>
      </rPr>
      <t xml:space="preserve"> emissions reductions</t>
    </r>
  </si>
  <si>
    <t>(tonnes per annum)</t>
  </si>
  <si>
    <t>(per cent)</t>
  </si>
  <si>
    <t xml:space="preserve">Baseline i.e. 2021 Building Regulations </t>
  </si>
  <si>
    <t xml:space="preserve">Baseline i.e. 2013 Building Regulations </t>
  </si>
  <si>
    <t>Energy Efficiency</t>
  </si>
  <si>
    <t>CHP</t>
  </si>
  <si>
    <t>Renewable energy</t>
  </si>
  <si>
    <t>Total</t>
  </si>
  <si>
    <r>
      <t xml:space="preserve">Non-domestic </t>
    </r>
    <r>
      <rPr>
        <b/>
        <sz val="16"/>
        <color rgb="FFFF0000"/>
        <rFont val="Foundry Form Sans"/>
      </rPr>
      <t>(outline/detailed)</t>
    </r>
  </si>
  <si>
    <r>
      <t xml:space="preserve">Carbon offsetting </t>
    </r>
    <r>
      <rPr>
        <b/>
        <sz val="16"/>
        <color rgb="FFFF0000"/>
        <rFont val="Foundry Form Sans"/>
      </rPr>
      <t xml:space="preserve">(outline/detailed) </t>
    </r>
  </si>
  <si>
    <t>Shortfall 
(tonnes per annum)</t>
  </si>
  <si>
    <t>Shortfall 
(£)</t>
  </si>
  <si>
    <t xml:space="preserve">Domestic </t>
  </si>
  <si>
    <t>Non-domestic</t>
  </si>
  <si>
    <t xml:space="preserve">Total </t>
  </si>
  <si>
    <t>2025/1042</t>
  </si>
  <si>
    <t>Stoney Wood Quarter</t>
  </si>
  <si>
    <t>Matthew Woodhead</t>
  </si>
  <si>
    <t>Barnet</t>
  </si>
  <si>
    <t>Detailed</t>
  </si>
  <si>
    <t>Stoney Wood Property Developments Ltd</t>
  </si>
  <si>
    <t>Irvineering</t>
  </si>
  <si>
    <t>ENERGY, SUSTAINABILITY &amp; OVERHEATING STATEMENT</t>
  </si>
  <si>
    <t>Residential (C3)</t>
  </si>
  <si>
    <t>Commercial €</t>
  </si>
  <si>
    <t>tbc</t>
  </si>
  <si>
    <r>
      <t xml:space="preserve">Domestic </t>
    </r>
    <r>
      <rPr>
        <b/>
        <sz val="16"/>
        <color rgb="FFFF0000"/>
        <rFont val="Foundry Form Sans"/>
      </rPr>
      <t>(detailed)</t>
    </r>
  </si>
  <si>
    <r>
      <t xml:space="preserve">Non-domestic </t>
    </r>
    <r>
      <rPr>
        <b/>
        <sz val="16"/>
        <color rgb="FFFF0000"/>
        <rFont val="Foundry Form Sans"/>
      </rPr>
      <t>(detailed)</t>
    </r>
  </si>
  <si>
    <r>
      <rPr>
        <sz val="11"/>
        <rFont val="Foundry Form Sans"/>
      </rPr>
      <t>The energy strategy could be compliant with the London Plan 2021 policies however, the applicant is required to submit the additional information to demonstrate policy compliance which has been requested below.</t>
    </r>
    <r>
      <rPr>
        <sz val="11"/>
        <color rgb="FFFF0000"/>
        <rFont val="Foundry Form Sans"/>
      </rPr>
      <t xml:space="preserve">
</t>
    </r>
    <r>
      <rPr>
        <sz val="11"/>
        <color theme="4"/>
        <rFont val="Foundry Form Sans"/>
      </rPr>
      <t xml:space="preserve">
</t>
    </r>
    <r>
      <rPr>
        <sz val="11"/>
        <rFont val="Foundry Form Sans"/>
      </rPr>
      <t xml:space="preserve">The applicant's response to GLA's energy comments should be provided directly within this Energy Memo. Any wider supporting material submitted should be referenced within the applicant's memo response. </t>
    </r>
  </si>
  <si>
    <r>
      <rPr>
        <sz val="11"/>
        <color rgb="FF000000"/>
        <rFont val="Foundry Form Sans"/>
      </rPr>
      <t>The applican</t>
    </r>
    <r>
      <rPr>
        <sz val="11"/>
        <color theme="1"/>
        <rFont val="Foundry Form Sans"/>
      </rPr>
      <t>t has submitted</t>
    </r>
    <r>
      <rPr>
        <sz val="11"/>
        <color rgb="FF000000"/>
        <rFont val="Foundry Form Sans"/>
      </rPr>
      <t xml:space="preserve"> the GLA’s Carbon Emission Reporting spreadsheet in excel format.</t>
    </r>
    <r>
      <rPr>
        <sz val="11"/>
        <color rgb="FFFF0000"/>
        <rFont val="Foundry Form Sans"/>
      </rPr>
      <t xml:space="preserve"> </t>
    </r>
    <r>
      <rPr>
        <sz val="11"/>
        <color theme="1"/>
        <rFont val="Foundry Form Sans"/>
      </rPr>
      <t>The applicant should ensure that all tabs are completed as per methodology on Introduction tab.</t>
    </r>
    <r>
      <rPr>
        <sz val="11"/>
        <color rgb="FFFF0000"/>
        <rFont val="Foundry Form Sans"/>
      </rPr>
      <t xml:space="preserve"> </t>
    </r>
  </si>
  <si>
    <t xml:space="preserve">Based on the information provided, the domestic element of the proposed development is estimated to achieve a reduction of 87.5  tonnes per annum (18%) in regulated CO2 emissions compared to a 2021 Building Regulations compliant development. </t>
  </si>
  <si>
    <r>
      <t>Based on the information provided, the non-domestic element of the proposed development is estimated to achieve a reduction of 0.5 tonnes per annum (18%) in regulated CO</t>
    </r>
    <r>
      <rPr>
        <sz val="8"/>
        <color theme="1"/>
        <rFont val="Foundry Form Sans"/>
      </rPr>
      <t>2</t>
    </r>
    <r>
      <rPr>
        <sz val="11"/>
        <color theme="1"/>
        <rFont val="Foundry Form Sans"/>
      </rPr>
      <t xml:space="preserve"> emissions compared to a 2021 Building Regulations compliant development. </t>
    </r>
  </si>
  <si>
    <t>The applicanthas stated that the estimated energy costs to occupants and listed the parameters set out in the guidance but they have not confirmed what measures will be incorporated to protect the consumer from high prices. The applicant should confirm which of the quality assurance mechanisms that will be incorporated as part of the strategy. See GLA Energy Assessment Guidance June 2022 paragraphs 7.16-7.19 for further details.</t>
  </si>
  <si>
    <r>
      <rPr>
        <sz val="11"/>
        <color rgb="FF000000"/>
        <rFont val="Foundry Form Sans"/>
      </rPr>
      <t xml:space="preserve">The results of the Dynamic Overheating Analysis, using the CIBSE TM59 methodology, demonstrate that the comfort criteria can be met under DSY 1 assuming a g-value of 0.53. MVHR with a small co is required to meet the comfort criteria due to window opening restrictions to meet acceptable noise limits. It is expected that the MVHR with trim cooling will only be installed in units that have window opening restrictions, this should be confirmed by the applicant. </t>
    </r>
    <r>
      <rPr>
        <sz val="11"/>
        <color theme="1"/>
        <rFont val="Foundry Form Sans"/>
      </rPr>
      <t xml:space="preserve">The applicant has confirmed that the overheating assessment has taken account all the requirements and limits set out in Approved Document O. </t>
    </r>
    <r>
      <rPr>
        <sz val="11"/>
        <color rgb="FF00B050"/>
        <rFont val="Foundry Form Sans"/>
      </rPr>
      <t xml:space="preserve">
</t>
    </r>
    <r>
      <rPr>
        <sz val="11"/>
        <color rgb="FF000000"/>
        <rFont val="Foundry Form Sans"/>
      </rPr>
      <t xml:space="preserve">
The analysis demonstrates that there are a significant number of failures under the DSY 2 and DSY 3 weather files. </t>
    </r>
    <r>
      <rPr>
        <sz val="11"/>
        <color theme="1"/>
        <rFont val="Foundry Form Sans"/>
      </rPr>
      <t>The applicant should demonstrate that the risk of overheating has been reduced further and maximise compliance as far as practical and that all passive measures have been explored, including reduced glazing and increased external shading.</t>
    </r>
    <r>
      <rPr>
        <sz val="11"/>
        <color rgb="FF000000"/>
        <rFont val="Foundry Form Sans"/>
      </rPr>
      <t xml:space="preserve"> The applicant should commit to providing guidance to occupants on future minimising future dwelling overheating risk in line with the cooling hierarchy.   
</t>
    </r>
  </si>
  <si>
    <t>The area weighted average (MJ/m2) and total (MJ/year) cooling demand for the actual and notional building has been provided, which shows that the cooling demand is predicted to be higher than the notional value. The applicant is required to investigate and adopt further passive measures (in line with the Cooling Hierarchy) to reduce the cooling demand.</t>
  </si>
  <si>
    <t>The applicant has carried out an investigation and stated that there are no existing or planned district heating networks within the vicinity of the proposed development based on the London Heat Map. However, no evidence of investigation with relevant stakeholders, such as the borough energy officer, has been demonstrated. An on-site communal heat network has been proposed by the applicant. This could be considered acceptable provided the LPA are in agreement.</t>
  </si>
  <si>
    <r>
      <t xml:space="preserve">The applicant is proposing a communal heat network. However, limited information on the heating arrangement has been provided. For example, it is not clear whether this is to be supplied supplied by a site wide centralised energy centre or individual block by block communal systems. This should be confirmed by the applicant and supporting information should be provided, including a drawing/schematic showing the route of the heat network/networks linking all buildings/uses on the site has been/should be provided alongside a drawing indicating the floor area, internal layout and location of the energy centre/centres. 
The applicant should provide a commitment that the development is designed to allow future connection to a district heating network. This should include a single point of connection to the district heating network. Drawings should be provided demonstrating space for heat exchangers in the energy centre/centres, and a safe-guarded pipe route to the site boundary, and sufficient space in cross section for primary district heating pipes where proposed routes are through utility corridors. This requirement is to be secured through a </t>
    </r>
    <r>
      <rPr>
        <b/>
        <u/>
        <sz val="11"/>
        <color theme="1"/>
        <rFont val="Foundry Form Sans"/>
      </rPr>
      <t>suitable condition or legal wording.</t>
    </r>
  </si>
  <si>
    <t xml:space="preserve">The applicant is proposing to install 110.8 kWp of PV.
A detailed roof layout should be provided demonstrating that the roof’s potential for a PV installation has been maximised and clearly outlining any constraints to the provision of further PV, such as plant space or solar insolation levels. The applicant is expected to situate PV on any green/brown roof areas using biosolar arrangement and should indicate how PV can be integrated with any amenity areas. 
The on-site savings from renewable energy technologies should be maximised regardless of the London Plan targets having been met.
The applicant should provide the capacity (kWp), total net area (m2) and annual output (kWh) of the proposed PV array.
</t>
  </si>
  <si>
    <r>
      <t xml:space="preserve">A commitment has been provided that the development will be designed to enable post construction monitoring and that the information set out in the ‘Be Seen’ guidance is submitted to the GLA’s portal at the appropriate reporting stages. This will be secured through </t>
    </r>
    <r>
      <rPr>
        <b/>
        <u/>
        <sz val="11"/>
        <color theme="1"/>
        <rFont val="Foundry Form Sans"/>
      </rPr>
      <t>suitable legal wording.</t>
    </r>
    <r>
      <rPr>
        <sz val="11"/>
        <color theme="1"/>
        <rFont val="Foundry Form Sans"/>
      </rPr>
      <t xml:space="preserve">
The 'Be Seen' reporting spreadsheet has been developed to enable development teams to capture all data offline before this is submitted via the webform. Once the planning stage CO2 emissions have been agreed with GLA, the applicant should confirm that the planning stage data has been submitted to GLA.</t>
    </r>
  </si>
  <si>
    <t>EUI and space heating demands has been provided. The applicant has used the Part L methodology (SAP and SBEM) for these calculations. The applicant has reported no energy usage for the residential circulation spaces and stated this is because the space is unconditioned. While the spaces may not including heating, the circulation spaces will include other energy usage, such as from lighting, ventilation and lift requirements. These energy usage should be included in the 'Be Seen' reporting and the EUI figures reviewed.</t>
  </si>
  <si>
    <r>
      <t xml:space="preserve">The applicant should confirm the carbon shortfall in tonnes CO2 and the associated carbon offset payment that will be made to the borough. This should be calculated based on a net-zero carbon target for domestic and non-domestic proposals using the GLA’s recommended carbon offset price (£95/tonne) or, where a local price has been set, the borough’s carbon offset price. The </t>
    </r>
    <r>
      <rPr>
        <b/>
        <u/>
        <sz val="11"/>
        <color theme="1"/>
        <rFont val="Foundry Form Sans"/>
      </rPr>
      <t>draft s106 agreement</t>
    </r>
    <r>
      <rPr>
        <sz val="11"/>
        <color theme="1"/>
        <rFont val="Foundry Form Sans"/>
      </rPr>
      <t xml:space="preserve"> should be submitted when available to evidence the carbon offset agreement with the borough.</t>
    </r>
  </si>
  <si>
    <t xml:space="preserve">Heat pumps are being proposed in the form of a (centralised) ASHP system. The applicant should confirm if or if top from boilers (and fuel type) is required. It is noted that the energy statement includes reference to a heat pump sizing assessment, however this has not been received by GLA. Further information on the heat pump performance should also be provided, including: 
a. An estimate of the heating and/or cooling energy (MWh/annum) the heat pumps would provide to the development and the percentage of contribution to the site’s heat loads. They should demonstrate how the heat fraction from heat pump technologies has been maximised.
b. Details of the Seasonal Coefficient of Performance (SCOP) and/or Seasonal Energy Efficiency ratio (SEER) and how these have been calculated for the specific proposed system's operation. This should incorporate the expected heat source and heat distribution temperatures (for space heat and hot water)and the distribution loss factor, which should be calculated based on the above information and used for calculation purposes. </t>
  </si>
  <si>
    <t>Received and nothing further required</t>
  </si>
  <si>
    <t>Potential Compliance-Pending Information</t>
  </si>
  <si>
    <t>Received but items still outstanding</t>
  </si>
  <si>
    <t>The residential glazing has been assessed using a g-value of 0.53 throughout, modelled without internal blinds in line with Part O. The glazing extent balances winter solar gain, daylight, natural ventilation and overheating prevention, with smaller openings at upper floor levels where overheating risk is greater.
Dynamic modelling demonstrates that reducing glazed areas would not materially improve compliance, as any reduction in solar gain would be offset by a proportional reduction in natural ventilation. A higher g-value would require darker, more solar-reflective glass giving the façade an office-like appearance inconsistent with the residential character of the scheme. Balcony and overhang shading is included in the model. Additional external shading devices are not proposed as they would increase enclosure, adversely affect daylight and amenity, and are visually more associated with commercial development.
The DSY2 and DSY3 failures, and the cooling demand exceeding the notional value, are both attributable to the acoustic constraint on window opening arising from the M1, which limits openable glazing to 1–3% of floor area in affected dwellings. Modelling of a theoretical scenario with fully openable windows shows all tested rooms pass DSY1, confirming the passive design is effective and that failures result from the acoustic constraint rather than design deficiency. Compliance with DSY2 and DSY3 is not mandatory under TM59. The overheating assessment has had regard to Approved Document O.
Affected units will be supported by low-energy MVHR with trim cooling, with specific units confirmed in the updated submission. Occupant guidance will be provided in line with the cooling hierarchy.</t>
  </si>
  <si>
    <t>Noted</t>
  </si>
  <si>
    <t>See below and appended supplementary information</t>
  </si>
  <si>
    <t>Confirmed with Francesca Campagnoli (lProgramme Manager – Local Area Energy Plan and Heat Networks, Estates and Decarbonisation,Growth Directorate, London Borough of Barnet) that there are no existing heat networks ready to serve the site by practical completion in 2028 -2029.</t>
  </si>
  <si>
    <t>As per item 6 and updated reports address this.</t>
  </si>
  <si>
    <r>
      <rPr>
        <sz val="11"/>
        <color theme="1"/>
        <rFont val="Calibri"/>
        <family val="2"/>
        <scheme val="minor"/>
      </rPr>
      <t xml:space="preserve">A detailed roof plan has been prepared demonstrating the proposed PV array and the constraints on further coverage. Refer to supplemenatary information.
The panels are concentrated on the flat roofs of the apartment buildings and lift overruns, positioned over blue/green roof areas in a biosolar arrangement. PV is not proposed on the townhouse roofs due to their more articulated form and limited maintenance access.
The layout has been informed by site-specific wind loading calculations, which have resulted in the exclusion of panels from roof zones where wind conditions do not support installation. A minimum 1000mm set-back is maintained from the roof perimeter, with clearance retained around access hatches, AOVs, upstands and plant, together with allowance for mansafe/handrail provision where required. These parameters, combined with plant areas and rooftop equipment, define the available area for PV.
</t>
    </r>
    <r>
      <rPr>
        <sz val="11"/>
        <rFont val="Calibri"/>
        <family val="2"/>
        <scheme val="minor"/>
      </rPr>
      <t>The proposed array provides 110.8 kWp with a net panel area of 477 m2. The roof layout demonstrates that the potential for PV has been maximised within these constraints.</t>
    </r>
  </si>
  <si>
    <t>Date: 27.03.26</t>
  </si>
  <si>
    <t>Sizing assessment including Details of the Seasonal Coefficient of Performance (SCOP) is now included in the supplemenatry information (Energy folder)
Estimate of the heating energy (MWh/annum) the heat pumps would provide to the development is now included on p.32</t>
  </si>
  <si>
    <t>See appended supplemtary information.</t>
  </si>
  <si>
    <t>Refer to appended supplemantary information  (page 10 of Energy Strategy).</t>
  </si>
  <si>
    <t>EUI for circulation spaces is now included in the GLA spreadsheet.- refer to Supplementary infiormation.</t>
  </si>
  <si>
    <t>Noted. Carbon shortfall and offset payment are shown in the GLA spreadsheet- see supplementary Information.</t>
  </si>
  <si>
    <t>The Site is serviced via three separate enegy centres with corresponding cascade heat pump arrangements on th roofs above.  There are 2 furutre district energy network plantrooms reserved sepcifically to accomodate future heat substation plant.  Prinary DEN connection pipework shall be run between teh DEN room and site boundary and left isolated and capped for future connection.  Refer to Supplementary information provided (drawing no:IP25012-SK-M-001).</t>
  </si>
  <si>
    <t>The Be Seen spreadsheet has now been provided.</t>
  </si>
  <si>
    <r>
      <t xml:space="preserve">The draft s106 agreement should be submitted when available to evidence the carbon offset agreement with the borough.
</t>
    </r>
    <r>
      <rPr>
        <b/>
        <sz val="11"/>
        <color theme="1"/>
        <rFont val="Calibri"/>
        <family val="2"/>
        <scheme val="minor"/>
      </rPr>
      <t>This item remains outstanding.</t>
    </r>
  </si>
  <si>
    <r>
      <t xml:space="preserve">Carbon offsetting </t>
    </r>
    <r>
      <rPr>
        <b/>
        <sz val="16"/>
        <color rgb="FFFF0000"/>
        <rFont val="Foundry Form Sans"/>
      </rPr>
      <t xml:space="preserve">(detailed) </t>
    </r>
  </si>
  <si>
    <t>56 resi/ 99 non-resi</t>
  </si>
  <si>
    <t>12 resi, 1.2 non-resi</t>
  </si>
  <si>
    <r>
      <t xml:space="preserve">The EUI and SHD has been updated and provided in the spreadsheet. </t>
    </r>
    <r>
      <rPr>
        <b/>
        <sz val="11"/>
        <color theme="1"/>
        <rFont val="Calibri"/>
        <family val="2"/>
        <scheme val="minor"/>
      </rPr>
      <t>Nothing further required.</t>
    </r>
  </si>
  <si>
    <r>
      <t xml:space="preserve">The area weighted average (MJ/m2) and total (MJ/year) cooling demand for the actual and notional building has been provided, which shows the actual cooling load to be below the notional.
</t>
    </r>
    <r>
      <rPr>
        <b/>
        <sz val="11"/>
        <color theme="1"/>
        <rFont val="Calibri"/>
        <family val="2"/>
        <scheme val="minor"/>
      </rPr>
      <t>Nothing further required.</t>
    </r>
  </si>
  <si>
    <t>Date: 21/05/2026</t>
  </si>
  <si>
    <r>
      <rPr>
        <sz val="11"/>
        <color theme="1"/>
        <rFont val="Calibri"/>
        <family val="2"/>
        <scheme val="minor"/>
      </rPr>
      <t>This information is missing from the ASHP Sizing folder. This should be re-provided to the case officer for the energy team to review.</t>
    </r>
    <r>
      <rPr>
        <b/>
        <sz val="11"/>
        <color theme="1"/>
        <rFont val="Calibri"/>
        <family val="2"/>
        <scheme val="minor"/>
      </rPr>
      <t xml:space="preserve">
This item remains outstanding.</t>
    </r>
  </si>
  <si>
    <r>
      <t xml:space="preserve">To be confirmed following provision of below information. Any changes to the ES should be supported by updated modelling outputs and carbon spreadsheet.
</t>
    </r>
    <r>
      <rPr>
        <b/>
        <sz val="11"/>
        <color theme="1"/>
        <rFont val="Calibri"/>
        <family val="2"/>
        <scheme val="minor"/>
      </rPr>
      <t>This item remains outstanding for now.</t>
    </r>
  </si>
  <si>
    <t xml:space="preserve">Nothing further required.
</t>
  </si>
  <si>
    <r>
      <t xml:space="preserve">The provided QA measures are welcomed and supported. </t>
    </r>
    <r>
      <rPr>
        <b/>
        <sz val="11"/>
        <color theme="1"/>
        <rFont val="Calibri"/>
        <family val="2"/>
        <scheme val="minor"/>
      </rPr>
      <t>Nothing further required.</t>
    </r>
  </si>
  <si>
    <r>
      <rPr>
        <sz val="11"/>
        <rFont val="Calibri"/>
        <family val="2"/>
        <scheme val="minor"/>
      </rPr>
      <t xml:space="preserve">The applicant has confirmed that 68% of units will require temperature lopping.
They should confirm the proposed unit, set point, capacity and control system in place to ensure this isn't used for comfort cooling.
 The applicant should commit to providing guidance to occupants on future minimising future dwelling overheating risk in line with the cooling hierarchy.   
</t>
    </r>
    <r>
      <rPr>
        <b/>
        <sz val="11"/>
        <rFont val="Calibri"/>
        <family val="2"/>
        <scheme val="minor"/>
      </rPr>
      <t xml:space="preserve">
This item remains outstanding.</t>
    </r>
  </si>
  <si>
    <r>
      <t>The information provied is welcomed. The applicant has evidenced that no heat networks exist within the vicinity of the development.</t>
    </r>
    <r>
      <rPr>
        <b/>
        <sz val="11"/>
        <color theme="1"/>
        <rFont val="Calibri"/>
        <family val="2"/>
        <scheme val="minor"/>
      </rPr>
      <t xml:space="preserve"> Nothing further required.</t>
    </r>
  </si>
  <si>
    <r>
      <t xml:space="preserve">The applicant has confirmed that a cascade heat pump approach is being provided with 3 energy centres.
The applicant should provide a schematic for this system. The applicant should detail why a singular energy centre cannot provide heating/hot water for the whole site. Greater information on the design flow/return temperatures, distribution network and emitters should be provided.
The evidence of future proofing is welcomed and supported.
</t>
    </r>
    <r>
      <rPr>
        <b/>
        <sz val="11"/>
        <color theme="1"/>
        <rFont val="Calibri"/>
        <family val="2"/>
        <scheme val="minor"/>
      </rPr>
      <t>This item remains outstanding.</t>
    </r>
  </si>
  <si>
    <r>
      <t xml:space="preserve">This cannot be located in the folder provided. The applicant should ensure this information has been passed onto the case officer for review by the energy team.
</t>
    </r>
    <r>
      <rPr>
        <b/>
        <sz val="11"/>
        <color theme="1"/>
        <rFont val="Calibri"/>
        <family val="2"/>
        <scheme val="minor"/>
      </rPr>
      <t>This item remains outstanding.</t>
    </r>
  </si>
  <si>
    <r>
      <t xml:space="preserve">This is to be confirmed following submission of the latest information. Any updates to the design means the be seen spreadsheet submitted should be updated. </t>
    </r>
    <r>
      <rPr>
        <b/>
        <sz val="11"/>
        <color theme="1"/>
        <rFont val="Calibri"/>
        <family val="2"/>
        <scheme val="minor"/>
      </rPr>
      <t>This item remains outstanding for now.</t>
    </r>
  </si>
  <si>
    <t>Date: 15/07/26</t>
  </si>
  <si>
    <t>Please see Part_l_2021_gla_carbon_emission_reporting_spreadsheet_v2.0_0-J</t>
  </si>
  <si>
    <t>Please see attached SWQ - PV Layout</t>
  </si>
  <si>
    <t>Please see updated ASHP sizing folder</t>
  </si>
  <si>
    <t>Not currently available</t>
  </si>
  <si>
    <t>Please see p.21 of the Stoney Wood Energy Strategy rev J. The applicant will include guidance on overheating risk within the Home User Guide at handover.</t>
  </si>
  <si>
    <t>Please see typical schematic Energy Centre A &amp; B. And sepertate schematic for Energy Centre C. A single point energy centre was assessed as a solution during the design process but given the layout of the site it was impossible to achieve. It would have been preferable financially but was not a practical solution given the size and layour of the scheme</t>
  </si>
  <si>
    <t>update will be submitted via the be seen web form</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6">
    <numFmt numFmtId="5" formatCode="&quot;£&quot;#,##0;\-&quot;£&quot;#,##0"/>
    <numFmt numFmtId="43" formatCode="_-* #,##0.00_-;\-* #,##0.00_-;_-* &quot;-&quot;??_-;_-@_-"/>
    <numFmt numFmtId="164" formatCode="&quot;£&quot;#,##0"/>
    <numFmt numFmtId="165" formatCode="_-* #,##0.0_-;\-* #,##0.0_-;_-* &quot;-&quot;??_-;_-@_-"/>
    <numFmt numFmtId="166" formatCode="#,##0.0_ ;\-#,##0.0\ "/>
    <numFmt numFmtId="167" formatCode="0.0"/>
  </numFmts>
  <fonts count="34">
    <font>
      <sz val="11"/>
      <color theme="1"/>
      <name val="Calibri"/>
      <family val="2"/>
      <scheme val="minor"/>
    </font>
    <font>
      <sz val="12"/>
      <color theme="1"/>
      <name val="Foundry Form Sans"/>
    </font>
    <font>
      <sz val="11"/>
      <color theme="1"/>
      <name val="Foundry Form Sans"/>
    </font>
    <font>
      <b/>
      <sz val="11"/>
      <color theme="1"/>
      <name val="Foundry Form Sans"/>
    </font>
    <font>
      <b/>
      <sz val="22"/>
      <color theme="1"/>
      <name val="Foundry Form Sans"/>
    </font>
    <font>
      <b/>
      <sz val="16"/>
      <color theme="1"/>
      <name val="Foundry Form Sans"/>
    </font>
    <font>
      <b/>
      <u/>
      <sz val="22"/>
      <color theme="1"/>
      <name val="Foundry Form Sans"/>
    </font>
    <font>
      <sz val="11"/>
      <color rgb="FFFF0000"/>
      <name val="Foundry Form Sans"/>
    </font>
    <font>
      <b/>
      <sz val="12"/>
      <color theme="1"/>
      <name val="Foundry Form Sans"/>
    </font>
    <font>
      <b/>
      <sz val="10"/>
      <name val="Foundry Form Sans"/>
    </font>
    <font>
      <b/>
      <vertAlign val="subscript"/>
      <sz val="11"/>
      <color theme="1"/>
      <name val="Foundry Form Sans"/>
    </font>
    <font>
      <sz val="11"/>
      <name val="Foundry Form Sans"/>
    </font>
    <font>
      <b/>
      <sz val="11"/>
      <name val="Foundry Form Sans"/>
    </font>
    <font>
      <sz val="11"/>
      <color theme="1"/>
      <name val="Calibri"/>
      <family val="2"/>
      <scheme val="minor"/>
    </font>
    <font>
      <b/>
      <u/>
      <sz val="11"/>
      <color theme="1"/>
      <name val="Foundry Form Sans"/>
    </font>
    <font>
      <sz val="8"/>
      <color theme="1"/>
      <name val="Foundry Form Sans"/>
    </font>
    <font>
      <b/>
      <sz val="11"/>
      <color theme="1"/>
      <name val="Calibri"/>
      <family val="2"/>
      <scheme val="minor"/>
    </font>
    <font>
      <sz val="11"/>
      <color theme="4"/>
      <name val="Foundry Form Sans"/>
    </font>
    <font>
      <b/>
      <sz val="11"/>
      <name val="Calibri"/>
      <family val="2"/>
      <scheme val="minor"/>
    </font>
    <font>
      <b/>
      <sz val="18"/>
      <color theme="1"/>
      <name val="Foundry Form Sans"/>
    </font>
    <font>
      <b/>
      <u/>
      <sz val="18"/>
      <color theme="1"/>
      <name val="Foundry Form Sans"/>
    </font>
    <font>
      <sz val="11"/>
      <color theme="0" tint="-0.14999847407452621"/>
      <name val="Foundry Form Sans"/>
    </font>
    <font>
      <b/>
      <sz val="11"/>
      <color theme="0"/>
      <name val="Calibri"/>
      <family val="2"/>
      <scheme val="minor"/>
    </font>
    <font>
      <b/>
      <sz val="11"/>
      <color theme="0"/>
      <name val="Foundry Form Sans"/>
    </font>
    <font>
      <sz val="11"/>
      <color theme="0"/>
      <name val="Calibri"/>
      <family val="2"/>
      <scheme val="minor"/>
    </font>
    <font>
      <sz val="11"/>
      <color theme="0"/>
      <name val="Foundry Form Sans"/>
    </font>
    <font>
      <b/>
      <sz val="16"/>
      <color rgb="FFFF0000"/>
      <name val="Foundry Form Sans"/>
    </font>
    <font>
      <i/>
      <sz val="9"/>
      <color theme="1"/>
      <name val="Foundry Form Sans"/>
    </font>
    <font>
      <i/>
      <sz val="8"/>
      <color theme="1"/>
      <name val="Foundry Form Sans"/>
    </font>
    <font>
      <sz val="11"/>
      <color rgb="FF000000"/>
      <name val="Foundry Form Sans"/>
    </font>
    <font>
      <sz val="11"/>
      <color rgb="FF00B050"/>
      <name val="Foundry Form Sans"/>
    </font>
    <font>
      <sz val="11"/>
      <color rgb="FF00B050"/>
      <name val="Calibri"/>
      <family val="2"/>
      <scheme val="minor"/>
    </font>
    <font>
      <sz val="11"/>
      <color theme="1"/>
      <name val="Noted"/>
    </font>
    <font>
      <sz val="11"/>
      <name val="Calibri"/>
      <family val="2"/>
      <scheme val="minor"/>
    </font>
  </fonts>
  <fills count="11">
    <fill>
      <patternFill patternType="none"/>
    </fill>
    <fill>
      <patternFill patternType="gray125"/>
    </fill>
    <fill>
      <patternFill patternType="solid">
        <fgColor theme="0"/>
        <bgColor indexed="64"/>
      </patternFill>
    </fill>
    <fill>
      <patternFill patternType="solid">
        <fgColor theme="0" tint="-0.14999847407452621"/>
        <bgColor indexed="64"/>
      </patternFill>
    </fill>
    <fill>
      <patternFill patternType="solid">
        <fgColor rgb="FFFFFFCC"/>
      </patternFill>
    </fill>
    <fill>
      <patternFill patternType="solid">
        <fgColor theme="1" tint="0.499984740745262"/>
        <bgColor indexed="64"/>
      </patternFill>
    </fill>
    <fill>
      <patternFill patternType="solid">
        <fgColor theme="8" tint="-0.249977111117893"/>
        <bgColor indexed="64"/>
      </patternFill>
    </fill>
    <fill>
      <patternFill patternType="solid">
        <fgColor theme="8" tint="0.79998168889431442"/>
        <bgColor indexed="64"/>
      </patternFill>
    </fill>
    <fill>
      <patternFill patternType="solid">
        <fgColor theme="4"/>
        <bgColor indexed="64"/>
      </patternFill>
    </fill>
    <fill>
      <patternFill patternType="solid">
        <fgColor theme="5" tint="0.79998168889431442"/>
        <bgColor indexed="64"/>
      </patternFill>
    </fill>
    <fill>
      <patternFill patternType="solid">
        <fgColor theme="9" tint="0.79998168889431442"/>
        <bgColor indexed="64"/>
      </patternFill>
    </fill>
  </fills>
  <borders count="45">
    <border>
      <left/>
      <right/>
      <top/>
      <bottom/>
      <diagonal/>
    </border>
    <border>
      <left style="thin">
        <color indexed="64"/>
      </left>
      <right/>
      <top/>
      <bottom/>
      <diagonal/>
    </border>
    <border>
      <left style="thin">
        <color indexed="64"/>
      </left>
      <right style="thin">
        <color indexed="64"/>
      </right>
      <top style="thin">
        <color indexed="64"/>
      </top>
      <bottom style="thin">
        <color indexed="64"/>
      </bottom>
      <diagonal/>
    </border>
    <border>
      <left style="thin">
        <color indexed="64"/>
      </left>
      <right style="thin">
        <color indexed="64"/>
      </right>
      <top style="thin">
        <color indexed="64"/>
      </top>
      <bottom/>
      <diagonal/>
    </border>
    <border>
      <left style="thin">
        <color indexed="64"/>
      </left>
      <right style="thin">
        <color indexed="64"/>
      </right>
      <top/>
      <bottom style="thin">
        <color indexed="64"/>
      </bottom>
      <diagonal/>
    </border>
    <border>
      <left/>
      <right/>
      <top/>
      <bottom style="thin">
        <color indexed="64"/>
      </bottom>
      <diagonal/>
    </border>
    <border>
      <left/>
      <right/>
      <top style="thin">
        <color indexed="64"/>
      </top>
      <bottom style="thin">
        <color indexed="64"/>
      </bottom>
      <diagonal/>
    </border>
    <border>
      <left/>
      <right/>
      <top style="thin">
        <color indexed="64"/>
      </top>
      <bottom/>
      <diagonal/>
    </border>
    <border>
      <left style="medium">
        <color indexed="64"/>
      </left>
      <right style="thin">
        <color indexed="64"/>
      </right>
      <top style="medium">
        <color indexed="64"/>
      </top>
      <bottom style="thin">
        <color indexed="64"/>
      </bottom>
      <diagonal/>
    </border>
    <border>
      <left style="thin">
        <color indexed="64"/>
      </left>
      <right style="medium">
        <color indexed="64"/>
      </right>
      <top style="medium">
        <color indexed="64"/>
      </top>
      <bottom style="thin">
        <color indexed="64"/>
      </bottom>
      <diagonal/>
    </border>
    <border>
      <left style="medium">
        <color indexed="64"/>
      </left>
      <right style="thin">
        <color indexed="64"/>
      </right>
      <top style="thin">
        <color indexed="64"/>
      </top>
      <bottom style="thin">
        <color indexed="64"/>
      </bottom>
      <diagonal/>
    </border>
    <border>
      <left style="thin">
        <color indexed="64"/>
      </left>
      <right style="medium">
        <color indexed="64"/>
      </right>
      <top style="thin">
        <color indexed="64"/>
      </top>
      <bottom style="thin">
        <color indexed="64"/>
      </bottom>
      <diagonal/>
    </border>
    <border>
      <left style="thin">
        <color indexed="64"/>
      </left>
      <right style="medium">
        <color indexed="64"/>
      </right>
      <top style="thin">
        <color indexed="64"/>
      </top>
      <bottom style="medium">
        <color indexed="64"/>
      </bottom>
      <diagonal/>
    </border>
    <border>
      <left style="thin">
        <color rgb="FFB2B2B2"/>
      </left>
      <right style="thin">
        <color rgb="FFB2B2B2"/>
      </right>
      <top style="thin">
        <color rgb="FFB2B2B2"/>
      </top>
      <bottom style="thin">
        <color rgb="FFB2B2B2"/>
      </bottom>
      <diagonal/>
    </border>
    <border>
      <left style="medium">
        <color indexed="64"/>
      </left>
      <right style="thin">
        <color indexed="64"/>
      </right>
      <top style="medium">
        <color indexed="64"/>
      </top>
      <bottom/>
      <diagonal/>
    </border>
    <border>
      <left style="thin">
        <color indexed="64"/>
      </left>
      <right style="thin">
        <color indexed="64"/>
      </right>
      <top style="medium">
        <color indexed="64"/>
      </top>
      <bottom/>
      <diagonal/>
    </border>
    <border>
      <left style="thin">
        <color indexed="64"/>
      </left>
      <right/>
      <top style="medium">
        <color indexed="64"/>
      </top>
      <bottom/>
      <diagonal/>
    </border>
    <border>
      <left style="thin">
        <color indexed="64"/>
      </left>
      <right style="medium">
        <color indexed="64"/>
      </right>
      <top style="medium">
        <color indexed="64"/>
      </top>
      <bottom/>
      <diagonal/>
    </border>
    <border>
      <left style="medium">
        <color indexed="64"/>
      </left>
      <right style="thin">
        <color indexed="64"/>
      </right>
      <top/>
      <bottom style="thin">
        <color indexed="64"/>
      </bottom>
      <diagonal/>
    </border>
    <border>
      <left style="thin">
        <color indexed="64"/>
      </left>
      <right style="medium">
        <color indexed="64"/>
      </right>
      <top/>
      <bottom style="thin">
        <color indexed="64"/>
      </bottom>
      <diagonal/>
    </border>
    <border>
      <left style="medium">
        <color indexed="64"/>
      </left>
      <right style="thin">
        <color indexed="64"/>
      </right>
      <top style="medium">
        <color indexed="64"/>
      </top>
      <bottom style="medium">
        <color indexed="64"/>
      </bottom>
      <diagonal/>
    </border>
    <border>
      <left style="thin">
        <color indexed="64"/>
      </left>
      <right style="medium">
        <color indexed="64"/>
      </right>
      <top style="medium">
        <color indexed="64"/>
      </top>
      <bottom style="medium">
        <color indexed="64"/>
      </bottom>
      <diagonal/>
    </border>
    <border>
      <left/>
      <right style="thin">
        <color indexed="64"/>
      </right>
      <top style="medium">
        <color indexed="64"/>
      </top>
      <bottom/>
      <diagonal/>
    </border>
    <border>
      <left style="medium">
        <color indexed="64"/>
      </left>
      <right/>
      <top/>
      <bottom/>
      <diagonal/>
    </border>
    <border>
      <left style="medium">
        <color indexed="64"/>
      </left>
      <right style="thin">
        <color indexed="64"/>
      </right>
      <top/>
      <bottom/>
      <diagonal/>
    </border>
    <border>
      <left style="thin">
        <color indexed="64"/>
      </left>
      <right style="medium">
        <color indexed="64"/>
      </right>
      <top style="thin">
        <color indexed="64"/>
      </top>
      <bottom/>
      <diagonal/>
    </border>
    <border>
      <left style="thin">
        <color indexed="64"/>
      </left>
      <right style="medium">
        <color indexed="64"/>
      </right>
      <top/>
      <bottom/>
      <diagonal/>
    </border>
    <border>
      <left/>
      <right style="medium">
        <color indexed="64"/>
      </right>
      <top style="thin">
        <color indexed="64"/>
      </top>
      <bottom style="medium">
        <color indexed="64"/>
      </bottom>
      <diagonal/>
    </border>
    <border>
      <left/>
      <right style="medium">
        <color indexed="64"/>
      </right>
      <top style="medium">
        <color indexed="64"/>
      </top>
      <bottom style="medium">
        <color indexed="64"/>
      </bottom>
      <diagonal/>
    </border>
    <border>
      <left style="medium">
        <color indexed="64"/>
      </left>
      <right/>
      <top style="medium">
        <color indexed="64"/>
      </top>
      <bottom/>
      <diagonal/>
    </border>
    <border>
      <left style="medium">
        <color indexed="64"/>
      </left>
      <right/>
      <top/>
      <bottom style="medium">
        <color indexed="64"/>
      </bottom>
      <diagonal/>
    </border>
    <border>
      <left/>
      <right style="medium">
        <color indexed="64"/>
      </right>
      <top style="medium">
        <color indexed="64"/>
      </top>
      <bottom/>
      <diagonal/>
    </border>
    <border>
      <left/>
      <right style="medium">
        <color indexed="64"/>
      </right>
      <top/>
      <bottom/>
      <diagonal/>
    </border>
    <border>
      <left/>
      <right style="medium">
        <color indexed="64"/>
      </right>
      <top/>
      <bottom style="medium">
        <color indexed="64"/>
      </bottom>
      <diagonal/>
    </border>
    <border>
      <left style="medium">
        <color indexed="64"/>
      </left>
      <right/>
      <top style="medium">
        <color indexed="64"/>
      </top>
      <bottom style="medium">
        <color indexed="64"/>
      </bottom>
      <diagonal/>
    </border>
    <border>
      <left/>
      <right style="medium">
        <color indexed="64"/>
      </right>
      <top style="medium">
        <color indexed="64"/>
      </top>
      <bottom style="thin">
        <color indexed="64"/>
      </bottom>
      <diagonal/>
    </border>
    <border>
      <left/>
      <right style="medium">
        <color indexed="64"/>
      </right>
      <top style="thin">
        <color indexed="64"/>
      </top>
      <bottom style="thin">
        <color indexed="64"/>
      </bottom>
      <diagonal/>
    </border>
    <border>
      <left/>
      <right style="medium">
        <color indexed="64"/>
      </right>
      <top/>
      <bottom style="thin">
        <color indexed="64"/>
      </bottom>
      <diagonal/>
    </border>
    <border>
      <left style="medium">
        <color indexed="64"/>
      </left>
      <right style="thin">
        <color indexed="64"/>
      </right>
      <top/>
      <bottom style="medium">
        <color indexed="64"/>
      </bottom>
      <diagonal/>
    </border>
    <border>
      <left style="thin">
        <color indexed="64"/>
      </left>
      <right/>
      <top/>
      <bottom style="medium">
        <color indexed="64"/>
      </bottom>
      <diagonal/>
    </border>
    <border>
      <left style="thin">
        <color indexed="64"/>
      </left>
      <right style="thin">
        <color indexed="64"/>
      </right>
      <top style="medium">
        <color indexed="64"/>
      </top>
      <bottom style="thin">
        <color indexed="64"/>
      </bottom>
      <diagonal/>
    </border>
    <border>
      <left style="medium">
        <color indexed="64"/>
      </left>
      <right style="thin">
        <color indexed="64"/>
      </right>
      <top style="thin">
        <color indexed="64"/>
      </top>
      <bottom/>
      <diagonal/>
    </border>
    <border>
      <left/>
      <right style="thin">
        <color indexed="64"/>
      </right>
      <top style="medium">
        <color indexed="64"/>
      </top>
      <bottom style="thin">
        <color indexed="64"/>
      </bottom>
      <diagonal/>
    </border>
    <border>
      <left/>
      <right style="thin">
        <color indexed="64"/>
      </right>
      <top style="thin">
        <color indexed="64"/>
      </top>
      <bottom style="thin">
        <color indexed="64"/>
      </bottom>
      <diagonal/>
    </border>
    <border>
      <left/>
      <right/>
      <top/>
      <bottom style="medium">
        <color indexed="64"/>
      </bottom>
      <diagonal/>
    </border>
  </borders>
  <cellStyleXfs count="4">
    <xf numFmtId="0" fontId="0" fillId="0" borderId="0"/>
    <xf numFmtId="9" fontId="13" fillId="0" borderId="0" applyFont="0" applyFill="0" applyBorder="0" applyAlignment="0" applyProtection="0"/>
    <xf numFmtId="0" fontId="13" fillId="4" borderId="13" applyNumberFormat="0" applyFont="0" applyAlignment="0" applyProtection="0"/>
    <xf numFmtId="43" fontId="13" fillId="0" borderId="0" applyFont="0" applyFill="0" applyBorder="0" applyAlignment="0" applyProtection="0"/>
  </cellStyleXfs>
  <cellXfs count="170">
    <xf numFmtId="0" fontId="0" fillId="0" borderId="0" xfId="0"/>
    <xf numFmtId="0" fontId="0" fillId="0" borderId="0" xfId="0" applyAlignment="1">
      <alignment horizontal="center" vertical="center"/>
    </xf>
    <xf numFmtId="0" fontId="0" fillId="0" borderId="0" xfId="0" applyAlignment="1">
      <alignment horizontal="center" vertical="center" wrapText="1"/>
    </xf>
    <xf numFmtId="0" fontId="2" fillId="0" borderId="0" xfId="0" applyFont="1"/>
    <xf numFmtId="0" fontId="2" fillId="2" borderId="0" xfId="0" applyFont="1" applyFill="1"/>
    <xf numFmtId="0" fontId="4" fillId="2" borderId="0" xfId="0" applyFont="1" applyFill="1"/>
    <xf numFmtId="0" fontId="3" fillId="2" borderId="0" xfId="0" applyFont="1" applyFill="1"/>
    <xf numFmtId="0" fontId="2" fillId="2" borderId="0" xfId="0" applyFont="1" applyFill="1" applyAlignment="1">
      <alignment horizontal="left" wrapText="1"/>
    </xf>
    <xf numFmtId="0" fontId="5" fillId="2" borderId="0" xfId="0" applyFont="1" applyFill="1"/>
    <xf numFmtId="0" fontId="3" fillId="2" borderId="0" xfId="0" applyFont="1" applyFill="1" applyAlignment="1">
      <alignment horizontal="center"/>
    </xf>
    <xf numFmtId="0" fontId="2" fillId="2" borderId="1" xfId="0" applyFont="1" applyFill="1" applyBorder="1" applyAlignment="1">
      <alignment horizontal="right"/>
    </xf>
    <xf numFmtId="0" fontId="6" fillId="2" borderId="0" xfId="0" applyFont="1" applyFill="1"/>
    <xf numFmtId="0" fontId="2" fillId="0" borderId="0" xfId="0" applyFont="1" applyAlignment="1">
      <alignment horizontal="center" vertical="center"/>
    </xf>
    <xf numFmtId="0" fontId="0" fillId="2" borderId="0" xfId="0" applyFill="1"/>
    <xf numFmtId="0" fontId="1" fillId="2" borderId="2" xfId="0" applyFont="1" applyFill="1" applyBorder="1" applyAlignment="1">
      <alignment vertical="center" wrapText="1"/>
    </xf>
    <xf numFmtId="0" fontId="1" fillId="2" borderId="2" xfId="0" applyFont="1" applyFill="1" applyBorder="1" applyAlignment="1">
      <alignment horizontal="right" vertical="center" wrapText="1"/>
    </xf>
    <xf numFmtId="0" fontId="2" fillId="2" borderId="2" xfId="0" applyFont="1" applyFill="1" applyBorder="1" applyAlignment="1">
      <alignment horizontal="right" vertical="center" wrapText="1"/>
    </xf>
    <xf numFmtId="0" fontId="8" fillId="2" borderId="0" xfId="0" applyFont="1" applyFill="1" applyAlignment="1">
      <alignment vertical="center" wrapText="1"/>
    </xf>
    <xf numFmtId="0" fontId="9" fillId="2" borderId="0" xfId="0" applyFont="1" applyFill="1" applyAlignment="1">
      <alignment horizontal="center" vertical="center" wrapText="1"/>
    </xf>
    <xf numFmtId="0" fontId="2" fillId="2" borderId="0" xfId="0" applyFont="1" applyFill="1" applyAlignment="1">
      <alignment horizontal="right" vertical="center" wrapText="1"/>
    </xf>
    <xf numFmtId="0" fontId="2" fillId="0" borderId="0" xfId="0" applyFont="1" applyAlignment="1">
      <alignment horizontal="left" vertical="center" wrapText="1"/>
    </xf>
    <xf numFmtId="0" fontId="8" fillId="2" borderId="2" xfId="0" applyFont="1" applyFill="1" applyBorder="1" applyAlignment="1">
      <alignment horizontal="center" vertical="center" wrapText="1"/>
    </xf>
    <xf numFmtId="0" fontId="2" fillId="2" borderId="5" xfId="0" applyFont="1" applyFill="1" applyBorder="1"/>
    <xf numFmtId="0" fontId="0" fillId="2" borderId="5" xfId="0" applyFill="1" applyBorder="1"/>
    <xf numFmtId="0" fontId="2" fillId="2" borderId="0" xfId="0" applyFont="1" applyFill="1" applyAlignment="1">
      <alignment horizontal="center" vertical="center"/>
    </xf>
    <xf numFmtId="0" fontId="0" fillId="2" borderId="0" xfId="0" applyFill="1" applyAlignment="1">
      <alignment horizontal="center" vertical="center"/>
    </xf>
    <xf numFmtId="0" fontId="0" fillId="2" borderId="5" xfId="0" applyFill="1" applyBorder="1" applyAlignment="1">
      <alignment horizontal="center" vertical="center"/>
    </xf>
    <xf numFmtId="0" fontId="2" fillId="0" borderId="6" xfId="0" applyFont="1" applyBorder="1" applyAlignment="1">
      <alignment horizontal="left" vertical="center" wrapText="1"/>
    </xf>
    <xf numFmtId="0" fontId="0" fillId="0" borderId="6" xfId="0" applyBorder="1" applyAlignment="1">
      <alignment horizontal="center" vertical="center"/>
    </xf>
    <xf numFmtId="0" fontId="0" fillId="0" borderId="6" xfId="0" applyBorder="1"/>
    <xf numFmtId="0" fontId="2" fillId="2" borderId="2" xfId="0" applyFont="1" applyFill="1" applyBorder="1" applyAlignment="1">
      <alignment vertical="center" wrapText="1"/>
    </xf>
    <xf numFmtId="0" fontId="11" fillId="2" borderId="2" xfId="0" applyFont="1" applyFill="1" applyBorder="1" applyAlignment="1">
      <alignment horizontal="center" vertical="center" wrapText="1"/>
    </xf>
    <xf numFmtId="0" fontId="3" fillId="2" borderId="2" xfId="0" applyFont="1" applyFill="1" applyBorder="1" applyAlignment="1">
      <alignment vertical="center" wrapText="1"/>
    </xf>
    <xf numFmtId="0" fontId="12" fillId="2" borderId="2" xfId="0" applyFont="1" applyFill="1" applyBorder="1" applyAlignment="1">
      <alignment horizontal="center" vertical="center" wrapText="1"/>
    </xf>
    <xf numFmtId="0" fontId="2" fillId="2" borderId="2" xfId="0" applyFont="1" applyFill="1" applyBorder="1"/>
    <xf numFmtId="0" fontId="3" fillId="3" borderId="6" xfId="0" applyFont="1" applyFill="1" applyBorder="1" applyAlignment="1">
      <alignment horizontal="left" vertical="center"/>
    </xf>
    <xf numFmtId="0" fontId="2" fillId="3" borderId="6" xfId="0" applyFont="1" applyFill="1" applyBorder="1" applyAlignment="1">
      <alignment horizontal="left" vertical="center" wrapText="1"/>
    </xf>
    <xf numFmtId="0" fontId="0" fillId="3" borderId="6" xfId="0" applyFill="1" applyBorder="1" applyAlignment="1">
      <alignment horizontal="center" vertical="center"/>
    </xf>
    <xf numFmtId="0" fontId="0" fillId="3" borderId="6" xfId="0" applyFill="1" applyBorder="1"/>
    <xf numFmtId="9" fontId="2" fillId="2" borderId="2" xfId="1" applyFont="1" applyFill="1" applyBorder="1" applyAlignment="1">
      <alignment horizontal="right" vertical="center" wrapText="1"/>
    </xf>
    <xf numFmtId="14" fontId="2" fillId="2" borderId="1" xfId="0" applyNumberFormat="1" applyFont="1" applyFill="1" applyBorder="1" applyAlignment="1">
      <alignment horizontal="right" vertical="center"/>
    </xf>
    <xf numFmtId="0" fontId="2" fillId="2" borderId="1" xfId="0" applyFont="1" applyFill="1" applyBorder="1" applyAlignment="1">
      <alignment horizontal="right" vertical="center"/>
    </xf>
    <xf numFmtId="0" fontId="3" fillId="0" borderId="0" xfId="0" applyFont="1" applyAlignment="1">
      <alignment horizontal="left" vertical="center"/>
    </xf>
    <xf numFmtId="0" fontId="0" fillId="2" borderId="0" xfId="0" applyFill="1" applyAlignment="1">
      <alignment horizontal="center" vertical="center" wrapText="1"/>
    </xf>
    <xf numFmtId="0" fontId="0" fillId="2" borderId="5" xfId="0" applyFill="1" applyBorder="1" applyAlignment="1">
      <alignment horizontal="center" vertical="center" wrapText="1"/>
    </xf>
    <xf numFmtId="0" fontId="3" fillId="0" borderId="0" xfId="0" applyFont="1" applyAlignment="1">
      <alignment horizontal="left" vertical="center" wrapText="1"/>
    </xf>
    <xf numFmtId="0" fontId="0" fillId="0" borderId="6" xfId="0" applyBorder="1" applyAlignment="1">
      <alignment horizontal="center" vertical="center" wrapText="1"/>
    </xf>
    <xf numFmtId="0" fontId="0" fillId="0" borderId="0" xfId="0" applyAlignment="1">
      <alignment wrapText="1"/>
    </xf>
    <xf numFmtId="0" fontId="0" fillId="3" borderId="6" xfId="0" applyFill="1" applyBorder="1" applyAlignment="1">
      <alignment horizontal="center" vertical="center" wrapText="1"/>
    </xf>
    <xf numFmtId="0" fontId="16" fillId="0" borderId="0" xfId="0" applyFont="1" applyAlignment="1">
      <alignment horizontal="center" vertical="center" wrapText="1"/>
    </xf>
    <xf numFmtId="0" fontId="0" fillId="0" borderId="0" xfId="0" applyAlignment="1">
      <alignment vertical="center" wrapText="1"/>
    </xf>
    <xf numFmtId="0" fontId="19" fillId="2" borderId="0" xfId="0" applyFont="1" applyFill="1" applyAlignment="1">
      <alignment horizontal="left" vertical="center"/>
    </xf>
    <xf numFmtId="0" fontId="21" fillId="0" borderId="0" xfId="0" applyFont="1" applyAlignment="1">
      <alignment horizontal="center" vertical="center"/>
    </xf>
    <xf numFmtId="0" fontId="2" fillId="2" borderId="5" xfId="0" applyFont="1" applyFill="1" applyBorder="1" applyAlignment="1">
      <alignment horizontal="center" vertical="center"/>
    </xf>
    <xf numFmtId="0" fontId="2" fillId="0" borderId="0" xfId="0" applyFont="1" applyAlignment="1">
      <alignment horizontal="center" vertical="center" wrapText="1"/>
    </xf>
    <xf numFmtId="0" fontId="3" fillId="0" borderId="6" xfId="0" applyFont="1" applyBorder="1" applyAlignment="1">
      <alignment horizontal="left" vertical="center"/>
    </xf>
    <xf numFmtId="0" fontId="3" fillId="2" borderId="2" xfId="0" applyFont="1" applyFill="1" applyBorder="1" applyAlignment="1">
      <alignment horizontal="center" vertical="center" wrapText="1"/>
    </xf>
    <xf numFmtId="0" fontId="3" fillId="0" borderId="0" xfId="0" applyFont="1" applyAlignment="1">
      <alignment horizontal="center" vertical="center"/>
    </xf>
    <xf numFmtId="0" fontId="23" fillId="5" borderId="14" xfId="0" applyFont="1" applyFill="1" applyBorder="1" applyAlignment="1">
      <alignment horizontal="center" vertical="center"/>
    </xf>
    <xf numFmtId="0" fontId="22" fillId="5" borderId="15" xfId="0" applyFont="1" applyFill="1" applyBorder="1" applyAlignment="1">
      <alignment horizontal="center" vertical="center" wrapText="1"/>
    </xf>
    <xf numFmtId="0" fontId="22" fillId="5" borderId="16" xfId="0" applyFont="1" applyFill="1" applyBorder="1" applyAlignment="1">
      <alignment horizontal="center" vertical="center" wrapText="1"/>
    </xf>
    <xf numFmtId="0" fontId="23" fillId="5" borderId="22" xfId="0" applyFont="1" applyFill="1" applyBorder="1" applyAlignment="1">
      <alignment horizontal="center" vertical="center"/>
    </xf>
    <xf numFmtId="0" fontId="0" fillId="0" borderId="35" xfId="0" applyBorder="1" applyAlignment="1">
      <alignment horizontal="center" vertical="center" wrapText="1"/>
    </xf>
    <xf numFmtId="0" fontId="0" fillId="0" borderId="36" xfId="0" applyBorder="1" applyAlignment="1">
      <alignment horizontal="center" vertical="center" wrapText="1"/>
    </xf>
    <xf numFmtId="0" fontId="0" fillId="0" borderId="27" xfId="0" applyBorder="1" applyAlignment="1">
      <alignment horizontal="center" vertical="center" wrapText="1"/>
    </xf>
    <xf numFmtId="0" fontId="0" fillId="0" borderId="37" xfId="0" applyBorder="1" applyAlignment="1">
      <alignment horizontal="center" vertical="center" wrapText="1"/>
    </xf>
    <xf numFmtId="0" fontId="22" fillId="5" borderId="17" xfId="0" applyFont="1" applyFill="1" applyBorder="1" applyAlignment="1">
      <alignment wrapText="1"/>
    </xf>
    <xf numFmtId="0" fontId="3" fillId="5" borderId="23" xfId="0" applyFont="1" applyFill="1" applyBorder="1" applyAlignment="1">
      <alignment horizontal="center" vertical="center"/>
    </xf>
    <xf numFmtId="0" fontId="2" fillId="5" borderId="24" xfId="0" applyFont="1" applyFill="1" applyBorder="1" applyAlignment="1">
      <alignment horizontal="center" vertical="center" wrapText="1"/>
    </xf>
    <xf numFmtId="0" fontId="2" fillId="5" borderId="26" xfId="0" applyFont="1" applyFill="1" applyBorder="1" applyAlignment="1">
      <alignment horizontal="center" vertical="center" wrapText="1"/>
    </xf>
    <xf numFmtId="0" fontId="0" fillId="5" borderId="32" xfId="0" applyFill="1" applyBorder="1" applyAlignment="1">
      <alignment horizontal="center" vertical="center" wrapText="1"/>
    </xf>
    <xf numFmtId="0" fontId="16" fillId="5" borderId="32" xfId="0" applyFont="1" applyFill="1" applyBorder="1" applyAlignment="1">
      <alignment horizontal="center" vertical="center" wrapText="1"/>
    </xf>
    <xf numFmtId="0" fontId="3" fillId="5" borderId="34" xfId="0" applyFont="1" applyFill="1" applyBorder="1" applyAlignment="1">
      <alignment horizontal="center" vertical="center"/>
    </xf>
    <xf numFmtId="0" fontId="2" fillId="5" borderId="20" xfId="0" applyFont="1" applyFill="1" applyBorder="1" applyAlignment="1">
      <alignment horizontal="center" vertical="center" wrapText="1"/>
    </xf>
    <xf numFmtId="0" fontId="2" fillId="5" borderId="21" xfId="0" applyFont="1" applyFill="1" applyBorder="1" applyAlignment="1">
      <alignment horizontal="center" vertical="center" wrapText="1"/>
    </xf>
    <xf numFmtId="0" fontId="0" fillId="5" borderId="28" xfId="0" applyFill="1" applyBorder="1" applyAlignment="1">
      <alignment horizontal="center" vertical="center" wrapText="1"/>
    </xf>
    <xf numFmtId="0" fontId="16" fillId="5" borderId="28" xfId="0" applyFont="1" applyFill="1" applyBorder="1" applyAlignment="1">
      <alignment horizontal="center" vertical="center" wrapText="1"/>
    </xf>
    <xf numFmtId="0" fontId="2" fillId="3" borderId="9" xfId="0" applyFont="1" applyFill="1" applyBorder="1" applyAlignment="1">
      <alignment horizontal="center" vertical="center" wrapText="1"/>
    </xf>
    <xf numFmtId="0" fontId="2" fillId="3" borderId="11" xfId="0" applyFont="1" applyFill="1" applyBorder="1" applyAlignment="1">
      <alignment horizontal="center" vertical="center" wrapText="1"/>
    </xf>
    <xf numFmtId="0" fontId="2" fillId="3" borderId="10" xfId="0" applyFont="1" applyFill="1" applyBorder="1" applyAlignment="1">
      <alignment horizontal="center" vertical="center" wrapText="1"/>
    </xf>
    <xf numFmtId="0" fontId="2" fillId="3" borderId="12" xfId="0" applyFont="1" applyFill="1" applyBorder="1" applyAlignment="1">
      <alignment horizontal="center" vertical="center" wrapText="1"/>
    </xf>
    <xf numFmtId="0" fontId="2" fillId="3" borderId="10" xfId="0" quotePrefix="1" applyFont="1" applyFill="1" applyBorder="1" applyAlignment="1">
      <alignment horizontal="center" vertical="center" wrapText="1"/>
    </xf>
    <xf numFmtId="0" fontId="23" fillId="6" borderId="14" xfId="0" applyFont="1" applyFill="1" applyBorder="1" applyAlignment="1">
      <alignment horizontal="center" vertical="center"/>
    </xf>
    <xf numFmtId="0" fontId="23" fillId="6" borderId="22" xfId="0" applyFont="1" applyFill="1" applyBorder="1" applyAlignment="1">
      <alignment horizontal="center" vertical="center"/>
    </xf>
    <xf numFmtId="0" fontId="22" fillId="6" borderId="15" xfId="0" applyFont="1" applyFill="1" applyBorder="1" applyAlignment="1">
      <alignment horizontal="center" vertical="center" wrapText="1"/>
    </xf>
    <xf numFmtId="0" fontId="22" fillId="6" borderId="17" xfId="0" applyFont="1" applyFill="1" applyBorder="1" applyAlignment="1">
      <alignment horizontal="center" vertical="center"/>
    </xf>
    <xf numFmtId="9" fontId="3" fillId="7" borderId="8" xfId="0" applyNumberFormat="1" applyFont="1" applyFill="1" applyBorder="1" applyAlignment="1">
      <alignment horizontal="center" vertical="center"/>
    </xf>
    <xf numFmtId="9" fontId="3" fillId="7" borderId="42" xfId="0" applyNumberFormat="1" applyFont="1" applyFill="1" applyBorder="1" applyAlignment="1">
      <alignment horizontal="center" vertical="center"/>
    </xf>
    <xf numFmtId="9" fontId="0" fillId="7" borderId="40" xfId="1" applyFont="1" applyFill="1" applyBorder="1" applyAlignment="1">
      <alignment horizontal="center" vertical="center" wrapText="1"/>
    </xf>
    <xf numFmtId="9" fontId="0" fillId="7" borderId="9" xfId="1" applyFont="1" applyFill="1" applyBorder="1" applyAlignment="1">
      <alignment horizontal="center" vertical="center"/>
    </xf>
    <xf numFmtId="9" fontId="3" fillId="7" borderId="10" xfId="0" applyNumberFormat="1" applyFont="1" applyFill="1" applyBorder="1" applyAlignment="1">
      <alignment horizontal="center" vertical="center"/>
    </xf>
    <xf numFmtId="9" fontId="3" fillId="7" borderId="43" xfId="0" applyNumberFormat="1" applyFont="1" applyFill="1" applyBorder="1" applyAlignment="1">
      <alignment horizontal="center" vertical="center"/>
    </xf>
    <xf numFmtId="9" fontId="0" fillId="7" borderId="2" xfId="1" applyFont="1" applyFill="1" applyBorder="1" applyAlignment="1">
      <alignment horizontal="center" vertical="center" wrapText="1"/>
    </xf>
    <xf numFmtId="9" fontId="0" fillId="7" borderId="11" xfId="1" applyFont="1" applyFill="1" applyBorder="1" applyAlignment="1">
      <alignment horizontal="center" vertical="center"/>
    </xf>
    <xf numFmtId="0" fontId="0" fillId="7" borderId="2" xfId="0" applyFill="1" applyBorder="1" applyAlignment="1">
      <alignment horizontal="center" vertical="center" wrapText="1"/>
    </xf>
    <xf numFmtId="0" fontId="0" fillId="7" borderId="11" xfId="0" applyFill="1" applyBorder="1" applyAlignment="1">
      <alignment horizontal="center" vertical="center"/>
    </xf>
    <xf numFmtId="0" fontId="3" fillId="7" borderId="10" xfId="0" applyFont="1" applyFill="1" applyBorder="1" applyAlignment="1">
      <alignment horizontal="center" vertical="center"/>
    </xf>
    <xf numFmtId="0" fontId="3" fillId="7" borderId="43" xfId="0" applyFont="1" applyFill="1" applyBorder="1" applyAlignment="1">
      <alignment horizontal="center" vertical="center"/>
    </xf>
    <xf numFmtId="9" fontId="0" fillId="7" borderId="2" xfId="0" applyNumberFormat="1" applyFill="1" applyBorder="1" applyAlignment="1">
      <alignment horizontal="center" vertical="center" wrapText="1"/>
    </xf>
    <xf numFmtId="0" fontId="25" fillId="8" borderId="38" xfId="0" applyFont="1" applyFill="1" applyBorder="1" applyAlignment="1">
      <alignment horizontal="center" vertical="center"/>
    </xf>
    <xf numFmtId="0" fontId="25" fillId="8" borderId="44" xfId="0" applyFont="1" applyFill="1" applyBorder="1" applyAlignment="1">
      <alignment horizontal="center" vertical="center"/>
    </xf>
    <xf numFmtId="0" fontId="27" fillId="2" borderId="0" xfId="0" applyFont="1" applyFill="1"/>
    <xf numFmtId="164" fontId="0" fillId="7" borderId="2" xfId="0" applyNumberFormat="1" applyFill="1" applyBorder="1" applyAlignment="1">
      <alignment horizontal="center" vertical="center" wrapText="1"/>
    </xf>
    <xf numFmtId="3" fontId="0" fillId="7" borderId="2" xfId="0" applyNumberFormat="1" applyFill="1" applyBorder="1" applyAlignment="1">
      <alignment horizontal="center" vertical="center" wrapText="1"/>
    </xf>
    <xf numFmtId="0" fontId="30" fillId="0" borderId="6" xfId="0" applyFont="1" applyBorder="1" applyAlignment="1">
      <alignment horizontal="left" vertical="center" wrapText="1"/>
    </xf>
    <xf numFmtId="0" fontId="31" fillId="0" borderId="6" xfId="0" applyFont="1" applyBorder="1" applyAlignment="1">
      <alignment horizontal="center" vertical="center" wrapText="1"/>
    </xf>
    <xf numFmtId="0" fontId="31" fillId="0" borderId="6" xfId="0" applyFont="1" applyBorder="1" applyAlignment="1">
      <alignment horizontal="center" vertical="center"/>
    </xf>
    <xf numFmtId="0" fontId="31" fillId="0" borderId="6" xfId="0" applyFont="1" applyBorder="1"/>
    <xf numFmtId="0" fontId="3" fillId="7" borderId="7" xfId="0" applyFont="1" applyFill="1" applyBorder="1" applyAlignment="1">
      <alignment horizontal="center" vertical="center"/>
    </xf>
    <xf numFmtId="0" fontId="12" fillId="7" borderId="10" xfId="0" applyFont="1" applyFill="1" applyBorder="1" applyAlignment="1">
      <alignment horizontal="center" vertical="center"/>
    </xf>
    <xf numFmtId="0" fontId="12" fillId="7" borderId="41" xfId="0" applyFont="1" applyFill="1" applyBorder="1" applyAlignment="1">
      <alignment horizontal="center" vertical="center"/>
    </xf>
    <xf numFmtId="165" fontId="11" fillId="2" borderId="2" xfId="3" applyNumberFormat="1" applyFont="1" applyFill="1" applyBorder="1" applyAlignment="1">
      <alignment horizontal="center" vertical="center" wrapText="1"/>
    </xf>
    <xf numFmtId="165" fontId="12" fillId="2" borderId="2" xfId="3" applyNumberFormat="1" applyFont="1" applyFill="1" applyBorder="1" applyAlignment="1">
      <alignment horizontal="center" vertical="center" wrapText="1"/>
    </xf>
    <xf numFmtId="166" fontId="2" fillId="2" borderId="2" xfId="3" applyNumberFormat="1" applyFont="1" applyFill="1" applyBorder="1" applyAlignment="1">
      <alignment horizontal="right" vertical="center" wrapText="1"/>
    </xf>
    <xf numFmtId="167" fontId="2" fillId="2" borderId="2" xfId="3" applyNumberFormat="1" applyFont="1" applyFill="1" applyBorder="1" applyAlignment="1">
      <alignment horizontal="right" vertical="center" wrapText="1"/>
    </xf>
    <xf numFmtId="167" fontId="2" fillId="2" borderId="2" xfId="0" applyNumberFormat="1" applyFont="1" applyFill="1" applyBorder="1" applyAlignment="1">
      <alignment horizontal="right" vertical="center" wrapText="1"/>
    </xf>
    <xf numFmtId="167" fontId="11" fillId="2" borderId="2" xfId="0" applyNumberFormat="1" applyFont="1" applyFill="1" applyBorder="1" applyAlignment="1">
      <alignment horizontal="center" vertical="center" wrapText="1"/>
    </xf>
    <xf numFmtId="167" fontId="12" fillId="2" borderId="2" xfId="0" applyNumberFormat="1" applyFont="1" applyFill="1" applyBorder="1" applyAlignment="1">
      <alignment horizontal="center" vertical="center" wrapText="1"/>
    </xf>
    <xf numFmtId="167" fontId="1" fillId="2" borderId="2" xfId="0" applyNumberFormat="1" applyFont="1" applyFill="1" applyBorder="1" applyAlignment="1">
      <alignment horizontal="right" vertical="center" wrapText="1"/>
    </xf>
    <xf numFmtId="5" fontId="1" fillId="2" borderId="2" xfId="3" applyNumberFormat="1" applyFont="1" applyFill="1" applyBorder="1" applyAlignment="1">
      <alignment horizontal="right" vertical="center" wrapText="1"/>
    </xf>
    <xf numFmtId="0" fontId="2" fillId="2" borderId="1" xfId="0" applyFont="1" applyFill="1" applyBorder="1" applyAlignment="1">
      <alignment horizontal="right" vertical="center" wrapText="1"/>
    </xf>
    <xf numFmtId="0" fontId="16" fillId="0" borderId="9" xfId="0" applyFont="1" applyBorder="1" applyAlignment="1">
      <alignment horizontal="right"/>
    </xf>
    <xf numFmtId="0" fontId="16" fillId="0" borderId="19" xfId="0" applyFont="1" applyBorder="1" applyAlignment="1">
      <alignment horizontal="right"/>
    </xf>
    <xf numFmtId="0" fontId="16" fillId="0" borderId="11" xfId="0" applyFont="1" applyBorder="1" applyAlignment="1">
      <alignment horizontal="right"/>
    </xf>
    <xf numFmtId="0" fontId="16" fillId="5" borderId="26" xfId="0" applyFont="1" applyFill="1" applyBorder="1" applyAlignment="1">
      <alignment horizontal="right"/>
    </xf>
    <xf numFmtId="0" fontId="16" fillId="0" borderId="25" xfId="0" applyFont="1" applyBorder="1" applyAlignment="1">
      <alignment horizontal="right"/>
    </xf>
    <xf numFmtId="0" fontId="16" fillId="5" borderId="21" xfId="0" applyFont="1" applyFill="1" applyBorder="1" applyAlignment="1">
      <alignment horizontal="right"/>
    </xf>
    <xf numFmtId="0" fontId="16" fillId="0" borderId="26" xfId="0" applyFont="1" applyBorder="1" applyAlignment="1">
      <alignment horizontal="right"/>
    </xf>
    <xf numFmtId="0" fontId="16" fillId="0" borderId="12" xfId="0" applyFont="1" applyBorder="1" applyAlignment="1">
      <alignment horizontal="right"/>
    </xf>
    <xf numFmtId="0" fontId="0" fillId="0" borderId="0" xfId="0" applyAlignment="1">
      <alignment horizontal="left" vertical="top" wrapText="1"/>
    </xf>
    <xf numFmtId="0" fontId="12" fillId="0" borderId="0" xfId="0" applyFont="1" applyAlignment="1">
      <alignment horizontal="center" vertical="center" wrapText="1"/>
    </xf>
    <xf numFmtId="0" fontId="33" fillId="0" borderId="0" xfId="0" applyFont="1" applyAlignment="1">
      <alignment horizontal="left" vertical="top" wrapText="1"/>
    </xf>
    <xf numFmtId="0" fontId="33" fillId="0" borderId="0" xfId="0" applyFont="1" applyAlignment="1">
      <alignment horizontal="left" vertical="center" wrapText="1"/>
    </xf>
    <xf numFmtId="0" fontId="32" fillId="0" borderId="0" xfId="0" applyFont="1" applyAlignment="1">
      <alignment horizontal="left" vertical="top" wrapText="1"/>
    </xf>
    <xf numFmtId="0" fontId="33" fillId="0" borderId="0" xfId="0" applyFont="1" applyAlignment="1">
      <alignment vertical="top" wrapText="1"/>
    </xf>
    <xf numFmtId="0" fontId="0" fillId="9" borderId="0" xfId="0" applyFill="1" applyAlignment="1">
      <alignment horizontal="center" vertical="center" wrapText="1"/>
    </xf>
    <xf numFmtId="0" fontId="0" fillId="10" borderId="0" xfId="0" applyFill="1" applyAlignment="1">
      <alignment horizontal="center" vertical="center" wrapText="1"/>
    </xf>
    <xf numFmtId="0" fontId="16" fillId="9" borderId="0" xfId="0" applyFont="1" applyFill="1" applyAlignment="1">
      <alignment horizontal="center" vertical="center" wrapText="1"/>
    </xf>
    <xf numFmtId="0" fontId="18" fillId="10" borderId="0" xfId="0" applyFont="1" applyFill="1" applyAlignment="1">
      <alignment horizontal="center" vertical="center" wrapText="1"/>
    </xf>
    <xf numFmtId="0" fontId="18" fillId="9" borderId="0" xfId="0" applyFont="1" applyFill="1" applyAlignment="1">
      <alignment horizontal="center" vertical="center" wrapText="1"/>
    </xf>
    <xf numFmtId="0" fontId="0" fillId="0" borderId="0" xfId="0" applyAlignment="1">
      <alignment horizontal="center" vertical="center" wrapText="1" shrinkToFit="1"/>
    </xf>
    <xf numFmtId="0" fontId="19" fillId="4" borderId="13" xfId="2" applyFont="1" applyAlignment="1">
      <alignment horizontal="left" vertical="center"/>
    </xf>
    <xf numFmtId="0" fontId="2" fillId="0" borderId="0" xfId="0" applyFont="1" applyAlignment="1">
      <alignment horizontal="center" vertical="center" wrapText="1"/>
    </xf>
    <xf numFmtId="0" fontId="2" fillId="3" borderId="10" xfId="0" quotePrefix="1" applyFont="1" applyFill="1" applyBorder="1" applyAlignment="1">
      <alignment horizontal="center" vertical="center" wrapText="1"/>
    </xf>
    <xf numFmtId="0" fontId="2" fillId="3" borderId="41" xfId="0" applyFont="1" applyFill="1" applyBorder="1" applyAlignment="1">
      <alignment horizontal="center" vertical="center" wrapText="1"/>
    </xf>
    <xf numFmtId="0" fontId="2" fillId="3" borderId="24" xfId="0" applyFont="1" applyFill="1" applyBorder="1" applyAlignment="1">
      <alignment horizontal="center" vertical="center" wrapText="1"/>
    </xf>
    <xf numFmtId="0" fontId="2" fillId="3" borderId="38" xfId="0" applyFont="1" applyFill="1" applyBorder="1" applyAlignment="1">
      <alignment horizontal="center" vertical="center" wrapText="1"/>
    </xf>
    <xf numFmtId="0" fontId="24" fillId="8" borderId="39" xfId="0" applyFont="1" applyFill="1" applyBorder="1" applyAlignment="1">
      <alignment horizontal="center" vertical="center" wrapText="1"/>
    </xf>
    <xf numFmtId="0" fontId="24" fillId="8" borderId="33" xfId="0" applyFont="1" applyFill="1" applyBorder="1" applyAlignment="1">
      <alignment horizontal="center" vertical="center" wrapText="1"/>
    </xf>
    <xf numFmtId="0" fontId="2" fillId="3" borderId="14" xfId="0" applyFont="1" applyFill="1" applyBorder="1" applyAlignment="1">
      <alignment horizontal="center" vertical="center" wrapText="1"/>
    </xf>
    <xf numFmtId="0" fontId="2" fillId="3" borderId="18" xfId="0" applyFont="1" applyFill="1" applyBorder="1" applyAlignment="1">
      <alignment horizontal="center" vertical="center" wrapText="1"/>
    </xf>
    <xf numFmtId="0" fontId="3" fillId="0" borderId="6" xfId="0" applyFont="1" applyBorder="1" applyAlignment="1">
      <alignment horizontal="left" vertical="center"/>
    </xf>
    <xf numFmtId="0" fontId="3" fillId="3" borderId="29" xfId="0" applyFont="1" applyFill="1" applyBorder="1" applyAlignment="1">
      <alignment horizontal="center" vertical="center" wrapText="1"/>
    </xf>
    <xf numFmtId="0" fontId="3" fillId="3" borderId="23" xfId="0" applyFont="1" applyFill="1" applyBorder="1" applyAlignment="1">
      <alignment horizontal="center" vertical="center" wrapText="1"/>
    </xf>
    <xf numFmtId="0" fontId="5" fillId="3" borderId="29" xfId="0" applyFont="1" applyFill="1" applyBorder="1" applyAlignment="1">
      <alignment horizontal="center" vertical="center"/>
    </xf>
    <xf numFmtId="0" fontId="5" fillId="3" borderId="23" xfId="0" applyFont="1" applyFill="1" applyBorder="1" applyAlignment="1">
      <alignment horizontal="center" vertical="center"/>
    </xf>
    <xf numFmtId="0" fontId="5" fillId="3" borderId="30" xfId="0" applyFont="1" applyFill="1" applyBorder="1" applyAlignment="1">
      <alignment horizontal="center" vertical="center"/>
    </xf>
    <xf numFmtId="0" fontId="16" fillId="0" borderId="31" xfId="0" applyFont="1" applyBorder="1" applyAlignment="1">
      <alignment horizontal="center" vertical="center" wrapText="1"/>
    </xf>
    <xf numFmtId="0" fontId="16" fillId="0" borderId="32" xfId="0" applyFont="1" applyBorder="1" applyAlignment="1">
      <alignment horizontal="center" vertical="center" wrapText="1"/>
    </xf>
    <xf numFmtId="0" fontId="16" fillId="0" borderId="33" xfId="0" applyFont="1" applyBorder="1" applyAlignment="1">
      <alignment horizontal="center" vertical="center" wrapText="1"/>
    </xf>
    <xf numFmtId="0" fontId="2" fillId="3" borderId="10" xfId="0" applyFont="1" applyFill="1" applyBorder="1" applyAlignment="1">
      <alignment horizontal="center" vertical="center" wrapText="1"/>
    </xf>
    <xf numFmtId="0" fontId="2" fillId="3" borderId="14" xfId="0" quotePrefix="1" applyFont="1" applyFill="1" applyBorder="1" applyAlignment="1">
      <alignment horizontal="center" vertical="center" wrapText="1"/>
    </xf>
    <xf numFmtId="0" fontId="2" fillId="3" borderId="24" xfId="0" quotePrefix="1" applyFont="1" applyFill="1" applyBorder="1" applyAlignment="1">
      <alignment horizontal="center" vertical="center" wrapText="1"/>
    </xf>
    <xf numFmtId="0" fontId="2" fillId="3" borderId="18" xfId="0" quotePrefix="1" applyFont="1" applyFill="1" applyBorder="1" applyAlignment="1">
      <alignment horizontal="center" vertical="center" wrapText="1"/>
    </xf>
    <xf numFmtId="0" fontId="5" fillId="2" borderId="0" xfId="0" applyFont="1" applyFill="1" applyAlignment="1">
      <alignment horizontal="left"/>
    </xf>
    <xf numFmtId="0" fontId="3" fillId="2" borderId="2" xfId="0" applyFont="1" applyFill="1" applyBorder="1" applyAlignment="1">
      <alignment horizontal="center" vertical="center" wrapText="1"/>
    </xf>
    <xf numFmtId="0" fontId="12" fillId="2" borderId="3" xfId="0" applyFont="1" applyFill="1" applyBorder="1" applyAlignment="1">
      <alignment horizontal="center" vertical="center" wrapText="1"/>
    </xf>
    <xf numFmtId="0" fontId="12" fillId="2" borderId="4" xfId="0" applyFont="1" applyFill="1" applyBorder="1" applyAlignment="1">
      <alignment horizontal="center" vertical="center" wrapText="1"/>
    </xf>
    <xf numFmtId="0" fontId="28" fillId="2" borderId="0" xfId="0" applyFont="1" applyFill="1" applyAlignment="1">
      <alignment horizontal="center" wrapText="1"/>
    </xf>
    <xf numFmtId="0" fontId="28" fillId="2" borderId="5" xfId="0" applyFont="1" applyFill="1" applyBorder="1" applyAlignment="1">
      <alignment horizontal="center" wrapText="1"/>
    </xf>
  </cellXfs>
  <cellStyles count="4">
    <cellStyle name="Comma" xfId="3" builtinId="3"/>
    <cellStyle name="Normal" xfId="0" builtinId="0"/>
    <cellStyle name="Note" xfId="2" builtinId="10"/>
    <cellStyle name="Percent" xfId="1" builtinId="5"/>
  </cellStyles>
  <dxfs count="19">
    <dxf>
      <font>
        <color theme="0"/>
      </font>
      <fill>
        <patternFill>
          <bgColor rgb="FF00B050"/>
        </patternFill>
      </fill>
    </dxf>
    <dxf>
      <font>
        <color theme="0"/>
      </font>
      <fill>
        <patternFill>
          <bgColor rgb="FFFF0000"/>
        </patternFill>
      </fill>
    </dxf>
    <dxf>
      <font>
        <color theme="0"/>
      </font>
      <fill>
        <patternFill>
          <bgColor theme="7"/>
        </patternFill>
      </fill>
    </dxf>
    <dxf>
      <font>
        <color theme="0"/>
      </font>
      <fill>
        <patternFill>
          <bgColor theme="5"/>
        </patternFill>
      </fill>
    </dxf>
    <dxf>
      <font>
        <color rgb="FF006100"/>
      </font>
      <fill>
        <patternFill>
          <bgColor rgb="FFC6EFCE"/>
        </patternFill>
      </fill>
    </dxf>
    <dxf>
      <font>
        <color rgb="FF006100"/>
      </font>
      <fill>
        <patternFill>
          <bgColor rgb="FFC6EFCE"/>
        </patternFill>
      </fill>
    </dxf>
    <dxf>
      <font>
        <color rgb="FF9C5700"/>
      </font>
      <fill>
        <patternFill>
          <bgColor rgb="FFFFEB9C"/>
        </patternFill>
      </fill>
    </dxf>
    <dxf>
      <font>
        <color rgb="FF9C5700"/>
      </font>
      <fill>
        <patternFill>
          <bgColor rgb="FFFFEB9C"/>
        </patternFill>
      </fill>
    </dxf>
    <dxf>
      <font>
        <color rgb="FF006100"/>
      </font>
      <fill>
        <patternFill>
          <bgColor rgb="FFC6EFCE"/>
        </patternFill>
      </fill>
    </dxf>
    <dxf>
      <font>
        <color rgb="FF006100"/>
      </font>
      <fill>
        <patternFill>
          <bgColor rgb="FFC6EFCE"/>
        </patternFill>
      </fill>
    </dxf>
    <dxf>
      <font>
        <color rgb="FF9C5700"/>
      </font>
      <fill>
        <patternFill>
          <bgColor rgb="FFFFEB9C"/>
        </patternFill>
      </fill>
    </dxf>
    <dxf>
      <font>
        <color rgb="FF9C5700"/>
      </font>
      <fill>
        <patternFill>
          <bgColor rgb="FFFFEB9C"/>
        </patternFill>
      </fill>
    </dxf>
    <dxf>
      <font>
        <color rgb="FF006100"/>
      </font>
      <fill>
        <patternFill>
          <bgColor rgb="FFC6EFCE"/>
        </patternFill>
      </fill>
    </dxf>
    <dxf>
      <font>
        <color rgb="FF9C5700"/>
      </font>
      <fill>
        <patternFill>
          <bgColor rgb="FFFFEB9C"/>
        </patternFill>
      </fill>
    </dxf>
    <dxf>
      <font>
        <color rgb="FF006100"/>
      </font>
      <fill>
        <patternFill>
          <bgColor rgb="FFC6EFCE"/>
        </patternFill>
      </fill>
    </dxf>
    <dxf>
      <font>
        <color rgb="FF9C0006"/>
      </font>
      <fill>
        <patternFill>
          <bgColor rgb="FFFFC7CE"/>
        </patternFill>
      </fill>
    </dxf>
    <dxf>
      <font>
        <color theme="1" tint="0.499984740745262"/>
      </font>
      <fill>
        <patternFill>
          <bgColor theme="0" tint="-0.14996795556505021"/>
        </patternFill>
      </fill>
    </dxf>
    <dxf>
      <font>
        <color rgb="FF9C5700"/>
      </font>
      <fill>
        <patternFill>
          <bgColor rgb="FFFFEB9C"/>
        </patternFill>
      </fill>
    </dxf>
    <dxf>
      <font>
        <b/>
        <i val="0"/>
        <color rgb="FFFF0000"/>
      </font>
    </dxf>
  </dxfs>
  <tableStyles count="0" defaultTableStyle="TableStyleMedium2" defaultPivotStyle="PivotStyleLight16"/>
  <colors>
    <mruColors>
      <color rgb="FFFFEB9C"/>
      <color rgb="FF9C5700"/>
      <color rgb="FFC6EFCE"/>
      <color rgb="FF006100"/>
    </mruColors>
  </colors>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orksheet" Target="worksheets/sheet3.xml"/><Relationship Id="rId7" Type="http://schemas.openxmlformats.org/officeDocument/2006/relationships/calcChain" Target="calcChain.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sharedStrings" Target="sharedStrings.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theme" Target="theme/theme1.xml"/><Relationship Id="rId9" Type="http://schemas.openxmlformats.org/officeDocument/2006/relationships/customXml" Target="../customXml/item2.xml"/></Relationships>
</file>

<file path=xl/drawings/_rels/drawing1.xml.rels><?xml version="1.0" encoding="UTF-8" standalone="yes"?>
<Relationships xmlns="http://schemas.openxmlformats.org/package/2006/relationships"><Relationship Id="rId1" Type="http://schemas.openxmlformats.org/officeDocument/2006/relationships/image" Target="../media/image1.png"/></Relationships>
</file>

<file path=xl/drawings/_rels/drawing2.xml.rels><?xml version="1.0" encoding="UTF-8" standalone="yes"?>
<Relationships xmlns="http://schemas.openxmlformats.org/package/2006/relationships"><Relationship Id="rId1" Type="http://schemas.openxmlformats.org/officeDocument/2006/relationships/image" Target="../media/image1.png"/></Relationships>
</file>

<file path=xl/drawings/_rels/drawing3.xml.rels><?xml version="1.0" encoding="UTF-8" standalone="yes"?>
<Relationships xmlns="http://schemas.openxmlformats.org/package/2006/relationships"><Relationship Id="rId1" Type="http://schemas.openxmlformats.org/officeDocument/2006/relationships/image" Target="../media/image1.png"/></Relationships>
</file>

<file path=xl/drawings/drawing1.xml><?xml version="1.0" encoding="utf-8"?>
<xdr:wsDr xmlns:xdr="http://schemas.openxmlformats.org/drawingml/2006/spreadsheetDrawing" xmlns:a="http://schemas.openxmlformats.org/drawingml/2006/main">
  <xdr:twoCellAnchor>
    <xdr:from>
      <xdr:col>0</xdr:col>
      <xdr:colOff>85725</xdr:colOff>
      <xdr:row>0</xdr:row>
      <xdr:rowOff>133350</xdr:rowOff>
    </xdr:from>
    <xdr:to>
      <xdr:col>1</xdr:col>
      <xdr:colOff>1800225</xdr:colOff>
      <xdr:row>1</xdr:row>
      <xdr:rowOff>166688</xdr:rowOff>
    </xdr:to>
    <xdr:pic>
      <xdr:nvPicPr>
        <xdr:cNvPr id="2" name="Picture 1">
          <a:extLst>
            <a:ext uri="{FF2B5EF4-FFF2-40B4-BE49-F238E27FC236}">
              <a16:creationId xmlns:a16="http://schemas.microsoft.com/office/drawing/2014/main" id="{A1243CE6-DC3A-49E2-B618-69F45206A7B7}"/>
            </a:ext>
          </a:extLst>
        </xdr:cNvPr>
        <xdr:cNvPicPr>
          <a:picLocks noChangeAspect="1" noChangeArrowheads="1"/>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xdr:blipFill>
      <xdr:spPr bwMode="auto">
        <a:xfrm>
          <a:off x="85725" y="133350"/>
          <a:ext cx="3657600" cy="204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xdr:spPr>
    </xdr:pic>
    <xdr:clientData/>
  </xdr:twoCellAnchor>
</xdr:wsDr>
</file>

<file path=xl/drawings/drawing2.xml><?xml version="1.0" encoding="utf-8"?>
<xdr:wsDr xmlns:xdr="http://schemas.openxmlformats.org/drawingml/2006/spreadsheetDrawing" xmlns:a="http://schemas.openxmlformats.org/drawingml/2006/main">
  <xdr:twoCellAnchor>
    <xdr:from>
      <xdr:col>0</xdr:col>
      <xdr:colOff>68036</xdr:colOff>
      <xdr:row>0</xdr:row>
      <xdr:rowOff>108857</xdr:rowOff>
    </xdr:from>
    <xdr:to>
      <xdr:col>1</xdr:col>
      <xdr:colOff>2877911</xdr:colOff>
      <xdr:row>1</xdr:row>
      <xdr:rowOff>94459</xdr:rowOff>
    </xdr:to>
    <xdr:pic>
      <xdr:nvPicPr>
        <xdr:cNvPr id="4" name="Picture 3">
          <a:extLst>
            <a:ext uri="{FF2B5EF4-FFF2-40B4-BE49-F238E27FC236}">
              <a16:creationId xmlns:a16="http://schemas.microsoft.com/office/drawing/2014/main" id="{9E504136-56BE-4EEA-B9C4-C33FC00BC88F}"/>
            </a:ext>
          </a:extLst>
        </xdr:cNvPr>
        <xdr:cNvPicPr>
          <a:picLocks noChangeAspect="1" noChangeArrowheads="1"/>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xdr:blipFill>
      <xdr:spPr bwMode="auto">
        <a:xfrm>
          <a:off x="68036" y="108857"/>
          <a:ext cx="3531054" cy="17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xdr:spPr>
    </xdr:pic>
    <xdr:clientData/>
  </xdr:twoCellAnchor>
</xdr:wsDr>
</file>

<file path=xl/drawings/drawing3.xml><?xml version="1.0" encoding="utf-8"?>
<xdr:wsDr xmlns:xdr="http://schemas.openxmlformats.org/drawingml/2006/spreadsheetDrawing" xmlns:a="http://schemas.openxmlformats.org/drawingml/2006/main">
  <xdr:twoCellAnchor>
    <xdr:from>
      <xdr:col>0</xdr:col>
      <xdr:colOff>66675</xdr:colOff>
      <xdr:row>0</xdr:row>
      <xdr:rowOff>114300</xdr:rowOff>
    </xdr:from>
    <xdr:to>
      <xdr:col>2</xdr:col>
      <xdr:colOff>742950</xdr:colOff>
      <xdr:row>1</xdr:row>
      <xdr:rowOff>99902</xdr:rowOff>
    </xdr:to>
    <xdr:pic>
      <xdr:nvPicPr>
        <xdr:cNvPr id="2" name="Picture 1">
          <a:extLst>
            <a:ext uri="{FF2B5EF4-FFF2-40B4-BE49-F238E27FC236}">
              <a16:creationId xmlns:a16="http://schemas.microsoft.com/office/drawing/2014/main" id="{B36F7B4A-26FB-43FC-9800-FE94A2240739}"/>
            </a:ext>
          </a:extLst>
        </xdr:cNvPr>
        <xdr:cNvPicPr>
          <a:picLocks noChangeAspect="1" noChangeArrowheads="1"/>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xdr:blipFill>
      <xdr:spPr bwMode="auto">
        <a:xfrm>
          <a:off x="66675" y="114300"/>
          <a:ext cx="3533775" cy="17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xdr:spPr>
    </xdr:pic>
    <xdr:clientData/>
  </xdr:twoCellAnchor>
</xdr:wsDr>
</file>

<file path=xl/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xl/worksheets/_rels/sheet1.xml.rels><?xml version="1.0" encoding="UTF-8" standalone="yes"?>
<Relationships xmlns="http://schemas.openxmlformats.org/package/2006/relationships"><Relationship Id="rId2" Type="http://schemas.openxmlformats.org/officeDocument/2006/relationships/drawing" Target="../drawings/drawing1.xml"/><Relationship Id="rId1" Type="http://schemas.openxmlformats.org/officeDocument/2006/relationships/printerSettings" Target="../printerSettings/printerSettings1.bin"/></Relationships>
</file>

<file path=xl/worksheets/_rels/sheet2.xml.rels><?xml version="1.0" encoding="UTF-8" standalone="yes"?>
<Relationships xmlns="http://schemas.openxmlformats.org/package/2006/relationships"><Relationship Id="rId2" Type="http://schemas.openxmlformats.org/officeDocument/2006/relationships/drawing" Target="../drawings/drawing2.xml"/><Relationship Id="rId1" Type="http://schemas.openxmlformats.org/officeDocument/2006/relationships/printerSettings" Target="../printerSettings/printerSettings2.bin"/></Relationships>
</file>

<file path=xl/worksheets/_rels/sheet3.xml.rels><?xml version="1.0" encoding="UTF-8" standalone="yes"?>
<Relationships xmlns="http://schemas.openxmlformats.org/package/2006/relationships"><Relationship Id="rId2" Type="http://schemas.openxmlformats.org/officeDocument/2006/relationships/drawing" Target="../drawings/drawing3.xml"/><Relationship Id="rId1" Type="http://schemas.openxmlformats.org/officeDocument/2006/relationships/printerSettings" Target="../printerSettings/printerSettings3.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000-000000000000}">
  <dimension ref="A2:B22"/>
  <sheetViews>
    <sheetView topLeftCell="A5" workbookViewId="0">
      <selection activeCell="B8" sqref="B8"/>
    </sheetView>
  </sheetViews>
  <sheetFormatPr defaultColWidth="9.1796875" defaultRowHeight="14"/>
  <cols>
    <col min="1" max="1" width="27.453125" style="4" customWidth="1"/>
    <col min="2" max="2" width="38.81640625" style="4" customWidth="1"/>
    <col min="3" max="16384" width="9.1796875" style="4"/>
  </cols>
  <sheetData>
    <row r="2" spans="1:2" s="22" customFormat="1" ht="19.5" customHeight="1"/>
    <row r="4" spans="1:2" s="5" customFormat="1" ht="28">
      <c r="A4" s="11" t="s">
        <v>0</v>
      </c>
      <c r="B4" s="11"/>
    </row>
    <row r="6" spans="1:2" s="6" customFormat="1" ht="20">
      <c r="A6" s="164" t="s">
        <v>1</v>
      </c>
      <c r="B6" s="164"/>
    </row>
    <row r="7" spans="1:2">
      <c r="A7" s="4" t="s">
        <v>2</v>
      </c>
      <c r="B7" s="40">
        <v>45659</v>
      </c>
    </row>
    <row r="8" spans="1:2">
      <c r="A8" s="4" t="s">
        <v>3</v>
      </c>
      <c r="B8" s="41" t="s">
        <v>114</v>
      </c>
    </row>
    <row r="9" spans="1:2">
      <c r="A9" s="4" t="s">
        <v>4</v>
      </c>
      <c r="B9" s="41" t="s">
        <v>113</v>
      </c>
    </row>
    <row r="10" spans="1:2">
      <c r="A10" s="4" t="s">
        <v>5</v>
      </c>
      <c r="B10" s="41" t="s">
        <v>115</v>
      </c>
    </row>
    <row r="11" spans="1:2">
      <c r="A11" s="4" t="s">
        <v>6</v>
      </c>
      <c r="B11" s="41" t="s">
        <v>116</v>
      </c>
    </row>
    <row r="12" spans="1:2" ht="31.5" customHeight="1">
      <c r="A12" s="7" t="s">
        <v>7</v>
      </c>
      <c r="B12" s="41" t="s">
        <v>117</v>
      </c>
    </row>
    <row r="13" spans="1:2">
      <c r="A13" s="4" t="s">
        <v>8</v>
      </c>
      <c r="B13" s="41" t="s">
        <v>118</v>
      </c>
    </row>
    <row r="14" spans="1:2">
      <c r="A14" s="4" t="s">
        <v>9</v>
      </c>
      <c r="B14" s="41" t="s">
        <v>119</v>
      </c>
    </row>
    <row r="15" spans="1:2" ht="28">
      <c r="A15" s="4" t="s">
        <v>10</v>
      </c>
      <c r="B15" s="120" t="s">
        <v>120</v>
      </c>
    </row>
    <row r="16" spans="1:2">
      <c r="A16" s="4" t="s">
        <v>11</v>
      </c>
      <c r="B16" s="40">
        <v>45979</v>
      </c>
    </row>
    <row r="18" spans="1:2" s="8" customFormat="1" ht="20">
      <c r="A18" s="164" t="s">
        <v>12</v>
      </c>
      <c r="B18" s="164"/>
    </row>
    <row r="19" spans="1:2">
      <c r="A19" s="6" t="s">
        <v>13</v>
      </c>
      <c r="B19" s="9" t="s">
        <v>14</v>
      </c>
    </row>
    <row r="20" spans="1:2">
      <c r="A20" s="7" t="s">
        <v>121</v>
      </c>
      <c r="B20" s="10">
        <v>463</v>
      </c>
    </row>
    <row r="21" spans="1:2">
      <c r="A21" s="4" t="s">
        <v>122</v>
      </c>
      <c r="B21" s="10" t="s">
        <v>123</v>
      </c>
    </row>
    <row r="22" spans="1:2">
      <c r="A22" s="7"/>
      <c r="B22" s="10"/>
    </row>
  </sheetData>
  <mergeCells count="2">
    <mergeCell ref="A6:B6"/>
    <mergeCell ref="A18:B18"/>
  </mergeCells>
  <dataValidations count="1">
    <dataValidation type="list" allowBlank="1" showInputMessage="1" showErrorMessage="1" sqref="B12" xr:uid="{F5B93F73-54CD-4912-BFDE-8E39E03A91E5}">
      <formula1>"Outline,Hybrid,Detailed,Pre-App"</formula1>
    </dataValidation>
  </dataValidations>
  <pageMargins left="0.7" right="0.7" top="0.75" bottom="0.75" header="0.3" footer="0.3"/>
  <pageSetup paperSize="9" orientation="portrait" r:id="rId1"/>
  <drawing r:id="rId2"/>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200-000000000000}">
  <dimension ref="A1:G133"/>
  <sheetViews>
    <sheetView tabSelected="1" topLeftCell="D61" zoomScale="160" zoomScaleNormal="160" workbookViewId="0">
      <selection activeCell="F70" sqref="F70"/>
    </sheetView>
  </sheetViews>
  <sheetFormatPr defaultRowHeight="14.5"/>
  <cols>
    <col min="1" max="1" width="10.54296875" style="12" customWidth="1"/>
    <col min="2" max="2" width="125" style="12" customWidth="1"/>
    <col min="3" max="3" width="94.1796875" style="2" customWidth="1"/>
    <col min="4" max="4" width="81.54296875" style="2" customWidth="1"/>
    <col min="5" max="5" width="52.54296875" style="1" customWidth="1"/>
    <col min="6" max="6" width="52.54296875" customWidth="1"/>
    <col min="7" max="7" width="28.54296875" customWidth="1"/>
    <col min="8" max="8" width="18" customWidth="1"/>
  </cols>
  <sheetData>
    <row r="1" spans="1:7" s="13" customFormat="1">
      <c r="A1" s="24"/>
      <c r="B1" s="24"/>
      <c r="C1" s="43"/>
      <c r="D1" s="43"/>
      <c r="E1" s="25"/>
    </row>
    <row r="2" spans="1:7" s="23" customFormat="1">
      <c r="A2" s="53"/>
      <c r="B2" s="53"/>
      <c r="C2" s="44"/>
      <c r="D2" s="44"/>
      <c r="E2" s="26"/>
    </row>
    <row r="3" spans="1:7" s="13" customFormat="1">
      <c r="A3" s="24"/>
      <c r="B3" s="24"/>
      <c r="C3" s="43"/>
      <c r="D3" s="43"/>
      <c r="E3" s="25"/>
    </row>
    <row r="4" spans="1:7" s="141" customFormat="1" ht="23">
      <c r="A4" s="141" t="s">
        <v>16</v>
      </c>
    </row>
    <row r="5" spans="1:7" s="51" customFormat="1" ht="23.5" thickBot="1"/>
    <row r="6" spans="1:7" s="13" customFormat="1" ht="33" customHeight="1" thickBot="1">
      <c r="A6" s="24"/>
      <c r="B6" s="58" t="s">
        <v>17</v>
      </c>
      <c r="C6" s="58" t="s">
        <v>18</v>
      </c>
      <c r="D6" s="61" t="s">
        <v>19</v>
      </c>
      <c r="E6" s="59" t="s">
        <v>20</v>
      </c>
      <c r="F6" s="60" t="s">
        <v>21</v>
      </c>
      <c r="G6" s="66" t="s">
        <v>22</v>
      </c>
    </row>
    <row r="7" spans="1:7" s="13" customFormat="1">
      <c r="A7" s="24"/>
      <c r="B7" s="152" t="s">
        <v>23</v>
      </c>
      <c r="C7" s="161" t="s">
        <v>24</v>
      </c>
      <c r="D7" s="77" t="s">
        <v>25</v>
      </c>
      <c r="E7" s="62" t="s">
        <v>140</v>
      </c>
      <c r="F7" s="157" t="s">
        <v>141</v>
      </c>
      <c r="G7" s="121" t="str">
        <f>IFERROR(A57,"")&amp;","&amp;IFERROR(A58,"")</f>
        <v>3,4</v>
      </c>
    </row>
    <row r="8" spans="1:7" s="13" customFormat="1">
      <c r="A8" s="24"/>
      <c r="B8" s="153"/>
      <c r="C8" s="162"/>
      <c r="D8" s="78" t="s">
        <v>26</v>
      </c>
      <c r="E8" s="65" t="s">
        <v>142</v>
      </c>
      <c r="F8" s="158"/>
      <c r="G8" s="122" t="str">
        <f>IFERROR(A61,"")&amp;","&amp;IFERROR(A62,"")</f>
        <v>6,7</v>
      </c>
    </row>
    <row r="9" spans="1:7" s="13" customFormat="1">
      <c r="A9" s="24"/>
      <c r="B9" s="153"/>
      <c r="C9" s="162"/>
      <c r="D9" s="78" t="s">
        <v>27</v>
      </c>
      <c r="E9" s="63" t="s">
        <v>140</v>
      </c>
      <c r="F9" s="158"/>
      <c r="G9" s="122" t="str">
        <f>IFERROR(A57,"")&amp;","&amp;IFERROR(A58,"")</f>
        <v>3,4</v>
      </c>
    </row>
    <row r="10" spans="1:7" s="13" customFormat="1">
      <c r="A10" s="24"/>
      <c r="B10" s="153"/>
      <c r="C10" s="163"/>
      <c r="D10" s="78" t="s">
        <v>28</v>
      </c>
      <c r="E10" s="63" t="s">
        <v>140</v>
      </c>
      <c r="F10" s="158"/>
      <c r="G10" s="122">
        <f>IFERROR(A72,"")</f>
        <v>13</v>
      </c>
    </row>
    <row r="11" spans="1:7" s="13" customFormat="1">
      <c r="A11" s="24"/>
      <c r="B11" s="153"/>
      <c r="C11" s="81" t="s">
        <v>29</v>
      </c>
      <c r="D11" s="78" t="s">
        <v>30</v>
      </c>
      <c r="E11" s="63" t="s">
        <v>142</v>
      </c>
      <c r="F11" s="158"/>
      <c r="G11" s="122" t="str">
        <f>IFERROR(A64,"")&amp;","&amp;IFERROR(A65,"")</f>
        <v>8,9</v>
      </c>
    </row>
    <row r="12" spans="1:7" s="13" customFormat="1" ht="29">
      <c r="A12" s="24"/>
      <c r="B12" s="153"/>
      <c r="C12" s="143" t="s">
        <v>31</v>
      </c>
      <c r="D12" s="78" t="s">
        <v>32</v>
      </c>
      <c r="E12" s="63" t="s">
        <v>92</v>
      </c>
      <c r="F12" s="158"/>
      <c r="G12" s="122">
        <f>IFERROR(A67,"")</f>
        <v>10</v>
      </c>
    </row>
    <row r="13" spans="1:7" s="13" customFormat="1">
      <c r="A13" s="24"/>
      <c r="B13" s="153"/>
      <c r="C13" s="143"/>
      <c r="D13" s="78" t="s">
        <v>33</v>
      </c>
      <c r="E13" s="63" t="s">
        <v>142</v>
      </c>
      <c r="F13" s="158"/>
      <c r="G13" s="122">
        <f>IFERROR(A67,"")</f>
        <v>10</v>
      </c>
    </row>
    <row r="14" spans="1:7" s="13" customFormat="1">
      <c r="A14" s="24"/>
      <c r="B14" s="153"/>
      <c r="C14" s="143"/>
      <c r="D14" s="78" t="s">
        <v>34</v>
      </c>
      <c r="E14" s="63" t="s">
        <v>142</v>
      </c>
      <c r="F14" s="158"/>
      <c r="G14" s="122">
        <f>IFERROR(A68,"")</f>
        <v>11</v>
      </c>
    </row>
    <row r="15" spans="1:7" s="13" customFormat="1">
      <c r="A15" s="24"/>
      <c r="B15" s="153"/>
      <c r="C15" s="160" t="s">
        <v>35</v>
      </c>
      <c r="D15" s="78" t="s">
        <v>36</v>
      </c>
      <c r="E15" s="63" t="s">
        <v>86</v>
      </c>
      <c r="F15" s="158"/>
      <c r="G15" s="123"/>
    </row>
    <row r="16" spans="1:7" s="13" customFormat="1">
      <c r="A16" s="24"/>
      <c r="B16" s="153"/>
      <c r="C16" s="160"/>
      <c r="D16" s="78" t="s">
        <v>37</v>
      </c>
      <c r="E16" s="63" t="s">
        <v>142</v>
      </c>
      <c r="F16" s="158"/>
      <c r="G16" s="123">
        <f>IFERROR(A55,"")</f>
        <v>2</v>
      </c>
    </row>
    <row r="17" spans="1:7" s="13" customFormat="1">
      <c r="A17" s="24"/>
      <c r="B17" s="153"/>
      <c r="C17" s="160"/>
      <c r="D17" s="78" t="s">
        <v>38</v>
      </c>
      <c r="E17" s="63" t="s">
        <v>140</v>
      </c>
      <c r="F17" s="158"/>
      <c r="G17" s="123" t="str">
        <f>IFERROR(#REF!,"")</f>
        <v/>
      </c>
    </row>
    <row r="18" spans="1:7" s="13" customFormat="1">
      <c r="A18" s="24"/>
      <c r="B18" s="153"/>
      <c r="C18" s="160"/>
      <c r="D18" s="78" t="s">
        <v>39</v>
      </c>
      <c r="E18" s="63" t="s">
        <v>140</v>
      </c>
      <c r="F18" s="158"/>
      <c r="G18" s="123" t="str">
        <f>IFERROR(#REF!,"")</f>
        <v/>
      </c>
    </row>
    <row r="19" spans="1:7" s="13" customFormat="1" ht="29">
      <c r="A19" s="24"/>
      <c r="B19" s="153"/>
      <c r="C19" s="79" t="s">
        <v>40</v>
      </c>
      <c r="D19" s="78" t="s">
        <v>41</v>
      </c>
      <c r="E19" s="63" t="s">
        <v>92</v>
      </c>
      <c r="F19" s="158"/>
      <c r="G19" s="123">
        <f>IFERROR(A74,"")</f>
        <v>14</v>
      </c>
    </row>
    <row r="20" spans="1:7" s="13" customFormat="1">
      <c r="A20" s="24"/>
      <c r="B20" s="153"/>
      <c r="C20" s="144" t="s">
        <v>42</v>
      </c>
      <c r="D20" s="78" t="s">
        <v>43</v>
      </c>
      <c r="E20" s="63" t="s">
        <v>140</v>
      </c>
      <c r="F20" s="158"/>
      <c r="G20" s="123">
        <f>IFERROR(A70,"")</f>
        <v>12</v>
      </c>
    </row>
    <row r="21" spans="1:7" s="13" customFormat="1" ht="29">
      <c r="A21" s="24"/>
      <c r="B21" s="153"/>
      <c r="C21" s="150"/>
      <c r="D21" s="78" t="s">
        <v>44</v>
      </c>
      <c r="E21" s="63" t="s">
        <v>92</v>
      </c>
      <c r="F21" s="158"/>
      <c r="G21" s="123">
        <f>IFERROR(A70,"")</f>
        <v>12</v>
      </c>
    </row>
    <row r="22" spans="1:7" s="13" customFormat="1" ht="7.5" customHeight="1" thickBot="1">
      <c r="A22" s="24"/>
      <c r="B22" s="67"/>
      <c r="C22" s="68"/>
      <c r="D22" s="69"/>
      <c r="E22" s="70"/>
      <c r="F22" s="71"/>
      <c r="G22" s="124"/>
    </row>
    <row r="23" spans="1:7" s="13" customFormat="1">
      <c r="A23" s="24"/>
      <c r="B23" s="154" t="s">
        <v>45</v>
      </c>
      <c r="C23" s="149" t="s">
        <v>46</v>
      </c>
      <c r="D23" s="77" t="s">
        <v>47</v>
      </c>
      <c r="E23" s="62" t="s">
        <v>140</v>
      </c>
      <c r="F23" s="157" t="s">
        <v>141</v>
      </c>
      <c r="G23" s="125">
        <f>IFERROR(A64,"")</f>
        <v>8</v>
      </c>
    </row>
    <row r="24" spans="1:7" s="13" customFormat="1">
      <c r="A24" s="24"/>
      <c r="B24" s="155"/>
      <c r="C24" s="150"/>
      <c r="D24" s="78" t="s">
        <v>48</v>
      </c>
      <c r="E24" s="63" t="s">
        <v>142</v>
      </c>
      <c r="F24" s="158"/>
      <c r="G24" s="125">
        <f>IFERROR(A65,"")</f>
        <v>9</v>
      </c>
    </row>
    <row r="25" spans="1:7" s="13" customFormat="1">
      <c r="A25" s="24"/>
      <c r="B25" s="155"/>
      <c r="C25" s="144" t="s">
        <v>49</v>
      </c>
      <c r="D25" s="78" t="s">
        <v>50</v>
      </c>
      <c r="E25" s="63" t="s">
        <v>140</v>
      </c>
      <c r="F25" s="158"/>
      <c r="G25" s="125">
        <f>IFERROR(A65,"")</f>
        <v>9</v>
      </c>
    </row>
    <row r="26" spans="1:7" s="13" customFormat="1" ht="29">
      <c r="A26" s="24"/>
      <c r="B26" s="155"/>
      <c r="C26" s="145"/>
      <c r="D26" s="78" t="s">
        <v>51</v>
      </c>
      <c r="E26" s="63" t="s">
        <v>92</v>
      </c>
      <c r="F26" s="158"/>
      <c r="G26" s="125">
        <f>IFERROR(A65,"")</f>
        <v>9</v>
      </c>
    </row>
    <row r="27" spans="1:7" s="13" customFormat="1" ht="15" thickBot="1">
      <c r="A27" s="24"/>
      <c r="B27" s="156"/>
      <c r="C27" s="146"/>
      <c r="D27" s="80" t="s">
        <v>52</v>
      </c>
      <c r="E27" s="64" t="s">
        <v>140</v>
      </c>
      <c r="F27" s="159"/>
      <c r="G27" s="125">
        <f>IFERROR(A59,"")</f>
        <v>5</v>
      </c>
    </row>
    <row r="28" spans="1:7" s="13" customFormat="1" ht="7.5" customHeight="1" thickBot="1">
      <c r="A28" s="24"/>
      <c r="B28" s="72"/>
      <c r="C28" s="73"/>
      <c r="D28" s="74"/>
      <c r="E28" s="75"/>
      <c r="F28" s="76"/>
      <c r="G28" s="126"/>
    </row>
    <row r="29" spans="1:7" s="13" customFormat="1">
      <c r="A29" s="24"/>
      <c r="B29" s="155"/>
      <c r="C29" s="145"/>
      <c r="D29" s="78" t="s">
        <v>53</v>
      </c>
      <c r="E29" s="63" t="s">
        <v>142</v>
      </c>
      <c r="F29" s="158" t="s">
        <v>141</v>
      </c>
      <c r="G29" s="127" t="str">
        <f>IFERROR(A61,"")&amp;","&amp;IFERROR(A62,"")</f>
        <v>6,7</v>
      </c>
    </row>
    <row r="30" spans="1:7" s="13" customFormat="1" ht="15" thickBot="1">
      <c r="A30" s="24"/>
      <c r="B30" s="156"/>
      <c r="C30" s="146"/>
      <c r="D30" s="80" t="s">
        <v>54</v>
      </c>
      <c r="E30" s="64" t="s">
        <v>140</v>
      </c>
      <c r="F30" s="159"/>
      <c r="G30" s="128">
        <f>IFERROR(A62,"")</f>
        <v>7</v>
      </c>
    </row>
    <row r="31" spans="1:7" s="13" customFormat="1" ht="15" thickBot="1">
      <c r="A31" s="24"/>
      <c r="B31" s="12"/>
      <c r="C31" s="2"/>
      <c r="D31" s="2"/>
      <c r="E31" s="1"/>
    </row>
    <row r="32" spans="1:7" s="13" customFormat="1" ht="15" thickBot="1">
      <c r="A32" s="24"/>
      <c r="B32" s="82" t="s">
        <v>55</v>
      </c>
      <c r="C32" s="83" t="s">
        <v>56</v>
      </c>
      <c r="D32" s="84" t="s">
        <v>57</v>
      </c>
      <c r="E32" s="85" t="s">
        <v>58</v>
      </c>
    </row>
    <row r="33" spans="1:5" s="13" customFormat="1">
      <c r="A33" s="24"/>
      <c r="B33" s="86" t="s">
        <v>59</v>
      </c>
      <c r="C33" s="87"/>
      <c r="D33" s="88">
        <f>'CO2 performance'!D11</f>
        <v>0.7461118965865482</v>
      </c>
      <c r="E33" s="89"/>
    </row>
    <row r="34" spans="1:5" s="13" customFormat="1">
      <c r="A34" s="24"/>
      <c r="B34" s="90" t="s">
        <v>60</v>
      </c>
      <c r="C34" s="91"/>
      <c r="D34" s="92">
        <f>'CO2 performance'!D21</f>
        <v>0.6785714285714286</v>
      </c>
      <c r="E34" s="93"/>
    </row>
    <row r="35" spans="1:5" s="13" customFormat="1">
      <c r="A35" s="24"/>
      <c r="B35" s="90" t="s">
        <v>61</v>
      </c>
      <c r="C35" s="91"/>
      <c r="D35" s="102">
        <f>'CO2 performance'!C28</f>
        <v>360810</v>
      </c>
      <c r="E35" s="95"/>
    </row>
    <row r="36" spans="1:5" s="13" customFormat="1">
      <c r="A36" s="24"/>
      <c r="B36" s="96" t="s">
        <v>62</v>
      </c>
      <c r="C36" s="97"/>
      <c r="D36" s="103">
        <f>100.8+10</f>
        <v>110.8</v>
      </c>
      <c r="E36" s="95"/>
    </row>
    <row r="37" spans="1:5" s="13" customFormat="1">
      <c r="A37" s="24"/>
      <c r="B37" s="96" t="s">
        <v>63</v>
      </c>
      <c r="C37" s="97"/>
      <c r="D37" s="103">
        <v>79000</v>
      </c>
      <c r="E37" s="95"/>
    </row>
    <row r="38" spans="1:5" s="13" customFormat="1">
      <c r="A38" s="24"/>
      <c r="B38" s="96" t="s">
        <v>64</v>
      </c>
      <c r="C38" s="97"/>
      <c r="D38" s="103" t="s">
        <v>123</v>
      </c>
      <c r="E38" s="95"/>
    </row>
    <row r="39" spans="1:5" s="13" customFormat="1">
      <c r="A39" s="24"/>
      <c r="B39" s="96" t="s">
        <v>65</v>
      </c>
      <c r="C39" s="97"/>
      <c r="D39" s="94">
        <v>3.4</v>
      </c>
      <c r="E39" s="95"/>
    </row>
    <row r="40" spans="1:5" s="13" customFormat="1">
      <c r="A40" s="24"/>
      <c r="B40" s="96" t="s">
        <v>66</v>
      </c>
      <c r="C40" s="97"/>
      <c r="D40" s="98">
        <v>1</v>
      </c>
      <c r="E40" s="95"/>
    </row>
    <row r="41" spans="1:5" s="13" customFormat="1">
      <c r="A41" s="24"/>
      <c r="B41" s="96" t="s">
        <v>67</v>
      </c>
      <c r="C41" s="97"/>
      <c r="D41" s="94" t="s">
        <v>123</v>
      </c>
      <c r="E41" s="95"/>
    </row>
    <row r="42" spans="1:5" s="13" customFormat="1">
      <c r="A42" s="24"/>
      <c r="B42" s="109" t="s">
        <v>68</v>
      </c>
      <c r="C42" s="97"/>
      <c r="D42" s="94">
        <v>1.5</v>
      </c>
      <c r="E42" s="95"/>
    </row>
    <row r="43" spans="1:5" s="13" customFormat="1">
      <c r="A43" s="24"/>
      <c r="B43" s="109" t="s">
        <v>69</v>
      </c>
      <c r="C43" s="97"/>
      <c r="D43" s="94" t="s">
        <v>159</v>
      </c>
      <c r="E43" s="95"/>
    </row>
    <row r="44" spans="1:5" s="13" customFormat="1">
      <c r="A44" s="24"/>
      <c r="B44" s="110" t="s">
        <v>70</v>
      </c>
      <c r="C44" s="108"/>
      <c r="D44" s="94" t="s">
        <v>160</v>
      </c>
      <c r="E44" s="95"/>
    </row>
    <row r="45" spans="1:5" s="13" customFormat="1" ht="15" thickBot="1">
      <c r="A45" s="24"/>
      <c r="B45" s="99" t="s">
        <v>71</v>
      </c>
      <c r="C45" s="100"/>
      <c r="D45" s="147"/>
      <c r="E45" s="148"/>
    </row>
    <row r="46" spans="1:5" s="13" customFormat="1">
      <c r="A46" s="24"/>
      <c r="B46" s="24"/>
      <c r="C46" s="43"/>
      <c r="D46" s="43"/>
      <c r="E46" s="25"/>
    </row>
    <row r="47" spans="1:5" s="141" customFormat="1" ht="23">
      <c r="A47" s="141" t="s">
        <v>72</v>
      </c>
    </row>
    <row r="48" spans="1:5" s="3" customFormat="1" ht="14">
      <c r="A48" s="142" t="s">
        <v>73</v>
      </c>
      <c r="B48" s="12" t="s">
        <v>74</v>
      </c>
      <c r="C48" s="54" t="s">
        <v>75</v>
      </c>
      <c r="D48" s="54" t="s">
        <v>76</v>
      </c>
      <c r="E48" s="12" t="s">
        <v>77</v>
      </c>
    </row>
    <row r="49" spans="1:6" s="3" customFormat="1" ht="14">
      <c r="A49" s="142"/>
      <c r="B49" s="12" t="str">
        <f>CONCATENATE("Date: ",TEXT('Case details'!B7,"dd/mm/yy"))</f>
        <v>Date: 02/01/25</v>
      </c>
      <c r="C49" s="130" t="s">
        <v>149</v>
      </c>
      <c r="D49" s="54" t="s">
        <v>163</v>
      </c>
      <c r="E49" s="12" t="s">
        <v>173</v>
      </c>
    </row>
    <row r="50" spans="1:6" s="151" customFormat="1" ht="14">
      <c r="A50" s="151" t="s">
        <v>78</v>
      </c>
    </row>
    <row r="51" spans="1:6" s="3" customFormat="1" ht="14">
      <c r="A51" s="54"/>
      <c r="B51" s="57" t="str">
        <f>CONCATENATE('Case details'!B15," (",TEXT('Case details'!B16,"dd/mm/yyyy"),")")</f>
        <v>ENERGY, SUSTAINABILITY &amp; OVERHEATING STATEMENT (18/11/2025)</v>
      </c>
      <c r="C51" s="54"/>
      <c r="D51" s="54"/>
      <c r="E51" s="12"/>
    </row>
    <row r="52" spans="1:6" s="151" customFormat="1" ht="14">
      <c r="A52" s="151" t="s">
        <v>79</v>
      </c>
    </row>
    <row r="53" spans="1:6" s="42" customFormat="1" ht="14">
      <c r="C53" s="45"/>
      <c r="D53" s="45"/>
    </row>
    <row r="54" spans="1:6" ht="70">
      <c r="A54" s="12">
        <v>1</v>
      </c>
      <c r="B54" s="20" t="s">
        <v>126</v>
      </c>
      <c r="C54" s="133" t="s">
        <v>145</v>
      </c>
      <c r="F54" s="49"/>
    </row>
    <row r="55" spans="1:6" ht="95.5" customHeight="1">
      <c r="A55" s="12">
        <f>COUNTIFS($B$54:B55,"&lt;&gt;")</f>
        <v>2</v>
      </c>
      <c r="B55" s="20" t="s">
        <v>127</v>
      </c>
      <c r="C55" s="133" t="s">
        <v>151</v>
      </c>
      <c r="D55" s="135" t="s">
        <v>165</v>
      </c>
      <c r="E55" s="2" t="s">
        <v>174</v>
      </c>
    </row>
    <row r="56" spans="1:6" s="151" customFormat="1" ht="14">
      <c r="A56" s="151" t="s">
        <v>80</v>
      </c>
    </row>
    <row r="57" spans="1:6" ht="52.5" customHeight="1">
      <c r="A57" s="12">
        <f>COUNTIFS($B$54:B57,"&lt;&gt;")</f>
        <v>3</v>
      </c>
      <c r="B57" s="20" t="s">
        <v>128</v>
      </c>
      <c r="C57" s="133" t="s">
        <v>144</v>
      </c>
      <c r="D57" s="138" t="s">
        <v>166</v>
      </c>
      <c r="F57" s="47"/>
    </row>
    <row r="58" spans="1:6" ht="56.5" customHeight="1">
      <c r="A58" s="12">
        <f>COUNTIFS($B$54:B58,"&lt;&gt;")</f>
        <v>4</v>
      </c>
      <c r="B58" s="20" t="s">
        <v>129</v>
      </c>
      <c r="C58" s="133" t="s">
        <v>144</v>
      </c>
      <c r="D58" s="138" t="s">
        <v>166</v>
      </c>
      <c r="F58" s="47"/>
    </row>
    <row r="59" spans="1:6" ht="85.5" customHeight="1">
      <c r="A59" s="12">
        <f>COUNTIFS($B$54:B59,"&lt;&gt;")</f>
        <v>5</v>
      </c>
      <c r="B59" s="20" t="s">
        <v>130</v>
      </c>
      <c r="C59" s="129" t="s">
        <v>152</v>
      </c>
      <c r="D59" s="136" t="s">
        <v>167</v>
      </c>
      <c r="F59" s="47"/>
    </row>
    <row r="60" spans="1:6" s="151" customFormat="1" ht="14">
      <c r="A60" s="151" t="s">
        <v>81</v>
      </c>
    </row>
    <row r="61" spans="1:6" ht="361" customHeight="1">
      <c r="A61" s="12">
        <f>COUNTIFS($B$54:B61,"&lt;&gt;")</f>
        <v>6</v>
      </c>
      <c r="B61" s="20" t="s">
        <v>131</v>
      </c>
      <c r="C61" s="129" t="s">
        <v>143</v>
      </c>
      <c r="D61" s="139" t="s">
        <v>168</v>
      </c>
      <c r="E61" s="2" t="s">
        <v>178</v>
      </c>
      <c r="F61" s="49"/>
    </row>
    <row r="62" spans="1:6" ht="98.5" customHeight="1">
      <c r="A62" s="12">
        <f>COUNTIFS($B$54:B62,"&lt;&gt;")</f>
        <v>7</v>
      </c>
      <c r="B62" s="20" t="s">
        <v>132</v>
      </c>
      <c r="C62" s="129" t="s">
        <v>147</v>
      </c>
      <c r="D62" s="136" t="s">
        <v>162</v>
      </c>
      <c r="F62" s="2"/>
    </row>
    <row r="63" spans="1:6" s="151" customFormat="1" ht="14">
      <c r="A63" s="151" t="s">
        <v>29</v>
      </c>
    </row>
    <row r="64" spans="1:6" ht="92" customHeight="1">
      <c r="A64" s="12">
        <f>COUNTIFS($B$54:B64,"&lt;&gt;")</f>
        <v>8</v>
      </c>
      <c r="B64" s="20" t="s">
        <v>133</v>
      </c>
      <c r="C64" s="131" t="s">
        <v>146</v>
      </c>
      <c r="D64" s="136" t="s">
        <v>169</v>
      </c>
      <c r="F64" s="50"/>
    </row>
    <row r="65" spans="1:7" ht="226" customHeight="1">
      <c r="A65" s="12">
        <f>COUNTIFS($B$54:B65,"&lt;&gt;")</f>
        <v>9</v>
      </c>
      <c r="B65" s="20" t="s">
        <v>134</v>
      </c>
      <c r="C65" s="132" t="s">
        <v>155</v>
      </c>
      <c r="D65" s="135" t="s">
        <v>170</v>
      </c>
      <c r="E65" s="140" t="s">
        <v>179</v>
      </c>
      <c r="G65" s="2"/>
    </row>
    <row r="66" spans="1:7" s="151" customFormat="1" ht="14">
      <c r="A66" s="151" t="s">
        <v>82</v>
      </c>
    </row>
    <row r="67" spans="1:7" ht="214.25" customHeight="1">
      <c r="A67" s="12">
        <f>COUNTIFS($B$54:B67,"&lt;&gt;")</f>
        <v>10</v>
      </c>
      <c r="B67" s="20" t="s">
        <v>135</v>
      </c>
      <c r="C67" s="132" t="s">
        <v>148</v>
      </c>
      <c r="D67" s="135" t="s">
        <v>171</v>
      </c>
      <c r="E67" s="1" t="s">
        <v>175</v>
      </c>
      <c r="F67" s="2"/>
    </row>
    <row r="68" spans="1:7" ht="191.5" customHeight="1">
      <c r="A68" s="12">
        <f>COUNTIFS($B$54:B68,"&lt;&gt;")</f>
        <v>11</v>
      </c>
      <c r="B68" s="20" t="s">
        <v>139</v>
      </c>
      <c r="C68" s="134" t="s">
        <v>150</v>
      </c>
      <c r="D68" s="137" t="s">
        <v>164</v>
      </c>
      <c r="E68" s="2" t="s">
        <v>176</v>
      </c>
      <c r="F68" s="49"/>
    </row>
    <row r="69" spans="1:7" s="29" customFormat="1">
      <c r="A69" s="55" t="s">
        <v>83</v>
      </c>
      <c r="B69" s="27"/>
      <c r="C69" s="46"/>
      <c r="D69" s="46"/>
      <c r="E69" s="28"/>
    </row>
    <row r="70" spans="1:7" ht="167.25" customHeight="1">
      <c r="A70" s="12">
        <f>COUNTIFS($B$54:B70,"&lt;&gt;")</f>
        <v>12</v>
      </c>
      <c r="B70" s="20" t="s">
        <v>136</v>
      </c>
      <c r="C70" s="131" t="s">
        <v>156</v>
      </c>
      <c r="D70" s="135" t="s">
        <v>172</v>
      </c>
      <c r="E70" s="1" t="s">
        <v>180</v>
      </c>
      <c r="F70" s="49"/>
    </row>
    <row r="71" spans="1:7" s="107" customFormat="1">
      <c r="A71" s="55" t="s">
        <v>15</v>
      </c>
      <c r="B71" s="104"/>
      <c r="C71" s="105"/>
      <c r="D71" s="105"/>
      <c r="E71" s="106"/>
    </row>
    <row r="72" spans="1:7" ht="129.75" customHeight="1">
      <c r="A72" s="12">
        <f>COUNTIFS($B$54:B72,"&lt;&gt;")</f>
        <v>13</v>
      </c>
      <c r="B72" s="20" t="s">
        <v>137</v>
      </c>
      <c r="C72" s="134" t="s">
        <v>153</v>
      </c>
      <c r="D72" s="136" t="s">
        <v>161</v>
      </c>
      <c r="F72" s="47"/>
    </row>
    <row r="73" spans="1:7" s="29" customFormat="1">
      <c r="A73" s="55" t="s">
        <v>84</v>
      </c>
      <c r="B73" s="27"/>
      <c r="C73" s="46"/>
      <c r="D73" s="46"/>
      <c r="E73" s="28"/>
    </row>
    <row r="74" spans="1:7" ht="89.5" customHeight="1">
      <c r="A74" s="12">
        <f>COUNTIFS($B$54:B74,"&lt;&gt;")</f>
        <v>14</v>
      </c>
      <c r="B74" s="20" t="s">
        <v>138</v>
      </c>
      <c r="C74" s="132" t="s">
        <v>154</v>
      </c>
      <c r="D74" s="135" t="s">
        <v>157</v>
      </c>
      <c r="E74" s="1" t="s">
        <v>177</v>
      </c>
    </row>
    <row r="77" spans="1:7" s="38" customFormat="1">
      <c r="A77" s="35" t="s">
        <v>85</v>
      </c>
      <c r="B77" s="36"/>
      <c r="C77" s="48"/>
      <c r="D77" s="48"/>
      <c r="E77" s="37"/>
    </row>
    <row r="126" spans="2:2">
      <c r="B126" s="52" t="s">
        <v>86</v>
      </c>
    </row>
    <row r="127" spans="2:2">
      <c r="B127" s="52" t="s">
        <v>87</v>
      </c>
    </row>
    <row r="128" spans="2:2">
      <c r="B128" s="52" t="s">
        <v>88</v>
      </c>
    </row>
    <row r="129" spans="2:2">
      <c r="B129" s="52" t="s">
        <v>89</v>
      </c>
    </row>
    <row r="130" spans="2:2">
      <c r="B130" s="52" t="s">
        <v>90</v>
      </c>
    </row>
    <row r="131" spans="2:2">
      <c r="B131" s="52" t="s">
        <v>91</v>
      </c>
    </row>
    <row r="132" spans="2:2">
      <c r="B132" s="52" t="s">
        <v>92</v>
      </c>
    </row>
    <row r="133" spans="2:2">
      <c r="B133" s="52" t="s">
        <v>93</v>
      </c>
    </row>
  </sheetData>
  <mergeCells count="23">
    <mergeCell ref="A50:XFD50"/>
    <mergeCell ref="B7:B21"/>
    <mergeCell ref="B23:B27"/>
    <mergeCell ref="B29:B30"/>
    <mergeCell ref="F7:F21"/>
    <mergeCell ref="F23:F27"/>
    <mergeCell ref="F29:F30"/>
    <mergeCell ref="C15:C18"/>
    <mergeCell ref="A47:XFD47"/>
    <mergeCell ref="C20:C21"/>
    <mergeCell ref="C7:C10"/>
    <mergeCell ref="A66:XFD66"/>
    <mergeCell ref="A63:XFD63"/>
    <mergeCell ref="A60:XFD60"/>
    <mergeCell ref="A56:XFD56"/>
    <mergeCell ref="A52:XFD52"/>
    <mergeCell ref="A4:XFD4"/>
    <mergeCell ref="A48:A49"/>
    <mergeCell ref="C12:C14"/>
    <mergeCell ref="C25:C27"/>
    <mergeCell ref="D45:E45"/>
    <mergeCell ref="C23:C24"/>
    <mergeCell ref="C29:C30"/>
  </mergeCells>
  <conditionalFormatting sqref="D33:D44">
    <cfRule type="cellIs" dxfId="18" priority="3" operator="equal">
      <formula>"TBC"</formula>
    </cfRule>
  </conditionalFormatting>
  <conditionalFormatting sqref="E7:E30">
    <cfRule type="containsText" dxfId="17" priority="77" operator="containsText" text="Received but items still outstanding">
      <formula>NOT(ISERROR(SEARCH("Received but items still outstanding",E7)))</formula>
    </cfRule>
    <cfRule type="containsText" dxfId="16" priority="78" operator="containsText" text="N/A">
      <formula>NOT(ISERROR(SEARCH("N/A",E7)))</formula>
    </cfRule>
    <cfRule type="containsText" dxfId="15" priority="79" operator="containsText" text="Not yet received">
      <formula>NOT(ISERROR(SEARCH("Not yet received",E7)))</formula>
    </cfRule>
    <cfRule type="containsText" dxfId="14" priority="80" operator="containsText" text="Received and nothing further required">
      <formula>NOT(ISERROR(SEARCH("Received and nothing further required",E7)))</formula>
    </cfRule>
  </conditionalFormatting>
  <conditionalFormatting sqref="E15">
    <cfRule type="cellIs" dxfId="13" priority="1" operator="equal">
      <formula>$B$129</formula>
    </cfRule>
    <cfRule type="cellIs" dxfId="12" priority="2" operator="equal">
      <formula>$B$126</formula>
    </cfRule>
    <cfRule type="cellIs" dxfId="11" priority="4" operator="equal">
      <formula>$B$131</formula>
    </cfRule>
    <cfRule type="cellIs" dxfId="10" priority="5" operator="equal">
      <formula>$B$130</formula>
    </cfRule>
    <cfRule type="cellIs" dxfId="9" priority="6" operator="equal">
      <formula>$B$128</formula>
    </cfRule>
    <cfRule type="cellIs" dxfId="8" priority="7" operator="equal">
      <formula>$B$127</formula>
    </cfRule>
  </conditionalFormatting>
  <conditionalFormatting sqref="E23:E30">
    <cfRule type="cellIs" dxfId="7" priority="35" operator="equal">
      <formula>$B$131</formula>
    </cfRule>
    <cfRule type="cellIs" dxfId="6" priority="36" operator="equal">
      <formula>$B$130</formula>
    </cfRule>
    <cfRule type="cellIs" dxfId="5" priority="37" operator="equal">
      <formula>$B$128</formula>
    </cfRule>
    <cfRule type="cellIs" dxfId="4" priority="38" operator="equal">
      <formula>$B$127</formula>
    </cfRule>
  </conditionalFormatting>
  <conditionalFormatting sqref="F7:F13 F23 F29">
    <cfRule type="containsText" dxfId="3" priority="8" operator="containsText" text="Potential Non-Compliance-Pending Information">
      <formula>NOT(ISERROR(SEARCH("Potential Non-Compliance-Pending Information",F7)))</formula>
    </cfRule>
    <cfRule type="containsText" dxfId="2" priority="25" operator="containsText" text="Potential Compliance-Pending Information">
      <formula>NOT(ISERROR(SEARCH("Potential Compliance-Pending Information",F7)))</formula>
    </cfRule>
    <cfRule type="beginsWith" dxfId="1" priority="26" operator="beginsWith" text="Non-compliant">
      <formula>LEFT(F7,LEN("Non-compliant"))="Non-compliant"</formula>
    </cfRule>
    <cfRule type="beginsWith" dxfId="0" priority="27" operator="beginsWith" text="Compliant">
      <formula>LEFT(F7,LEN("Compliant"))="Compliant"</formula>
    </cfRule>
  </conditionalFormatting>
  <dataValidations count="3">
    <dataValidation type="list" allowBlank="1" showInputMessage="1" showErrorMessage="1" sqref="E7:E14 E16:E30" xr:uid="{D5D20D32-F606-4E11-899F-5AC92ACD8A67}">
      <formula1>"Received and nothing further required,Received but items still outstanding, Not yet received - applicant to submit and provide reference ---&gt;,N/A"</formula1>
    </dataValidation>
    <dataValidation type="list" allowBlank="1" showInputMessage="1" showErrorMessage="1" sqref="E15" xr:uid="{DDD70110-F077-40E1-9428-DBD78E35DFA2}">
      <formula1>$B$126:$B$133</formula1>
    </dataValidation>
    <dataValidation type="list" allowBlank="1" showInputMessage="1" showErrorMessage="1" sqref="F7:F30" xr:uid="{2B626800-347C-422A-93D4-D799CD951AE8}">
      <formula1>"Compliant,Potential Compliance-Pending Information,Potential Non-Compliance-Pending Information,Non-compliant"</formula1>
    </dataValidation>
  </dataValidations>
  <pageMargins left="0.7" right="0.7" top="0.75" bottom="0.75" header="0.3" footer="0.3"/>
  <pageSetup paperSize="9" orientation="portrait" r:id="rId1"/>
  <drawing r:id="rId2"/>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300-000000000000}">
  <dimension ref="A1:I28"/>
  <sheetViews>
    <sheetView zoomScale="86" workbookViewId="0">
      <selection activeCell="D8" sqref="D8"/>
    </sheetView>
  </sheetViews>
  <sheetFormatPr defaultColWidth="9.1796875" defaultRowHeight="14.5"/>
  <cols>
    <col min="1" max="1" width="22.1796875" style="13" customWidth="1"/>
    <col min="2" max="2" width="31.453125" style="13" customWidth="1"/>
    <col min="3" max="4" width="20.54296875" style="13" customWidth="1"/>
    <col min="5" max="5" width="15.453125" style="13" customWidth="1"/>
    <col min="6" max="6" width="25.81640625" style="13" hidden="1" customWidth="1"/>
    <col min="7" max="7" width="26.453125" style="13" hidden="1" customWidth="1"/>
    <col min="8" max="9" width="25.81640625" style="13" hidden="1" customWidth="1"/>
    <col min="10" max="16384" width="9.1796875" style="13"/>
  </cols>
  <sheetData>
    <row r="1" spans="1:9">
      <c r="E1" s="168" t="s">
        <v>94</v>
      </c>
    </row>
    <row r="2" spans="1:9" s="23" customFormat="1">
      <c r="E2" s="169"/>
    </row>
    <row r="4" spans="1:9" s="6" customFormat="1" ht="20">
      <c r="A4" s="164" t="s">
        <v>124</v>
      </c>
      <c r="B4" s="164"/>
      <c r="E4" s="101"/>
      <c r="F4" s="164" t="s">
        <v>95</v>
      </c>
      <c r="G4" s="164"/>
    </row>
    <row r="5" spans="1:9" ht="31">
      <c r="A5" s="166" t="str">
        <f>IF('Energy Comments'!E15='Energy Comments'!B128,"SAP 2012",IF('Energy Comments'!E15='Energy Comments'!B131,"SAP 2012",IF(OR('Energy Comments'!E15='Energy Comments'!B126,'Energy Comments'!B129='Energy Comments'!E15),"SAP 10.2","SAP 10")))</f>
        <v>SAP 10.2</v>
      </c>
      <c r="B5" s="56" t="s">
        <v>96</v>
      </c>
      <c r="C5" s="165" t="s">
        <v>97</v>
      </c>
      <c r="D5" s="165"/>
      <c r="F5" s="166" t="str">
        <f>A5</f>
        <v>SAP 10.2</v>
      </c>
      <c r="G5" s="56" t="s">
        <v>96</v>
      </c>
      <c r="H5" s="165" t="s">
        <v>97</v>
      </c>
      <c r="I5" s="165"/>
    </row>
    <row r="6" spans="1:9">
      <c r="A6" s="167"/>
      <c r="B6" s="56" t="s">
        <v>98</v>
      </c>
      <c r="C6" s="56" t="s">
        <v>98</v>
      </c>
      <c r="D6" s="56" t="s">
        <v>99</v>
      </c>
      <c r="F6" s="167"/>
      <c r="G6" s="56" t="s">
        <v>98</v>
      </c>
      <c r="H6" s="56" t="s">
        <v>98</v>
      </c>
      <c r="I6" s="56" t="s">
        <v>99</v>
      </c>
    </row>
    <row r="7" spans="1:9" ht="40.5" customHeight="1">
      <c r="A7" s="30" t="s">
        <v>100</v>
      </c>
      <c r="B7" s="113">
        <v>495.1</v>
      </c>
      <c r="C7" s="111"/>
      <c r="D7" s="31"/>
      <c r="F7" s="30" t="s">
        <v>101</v>
      </c>
      <c r="G7" s="16"/>
      <c r="H7" s="31"/>
      <c r="I7" s="31"/>
    </row>
    <row r="8" spans="1:9" ht="21" customHeight="1">
      <c r="A8" s="30" t="s">
        <v>102</v>
      </c>
      <c r="B8" s="113">
        <v>407.6</v>
      </c>
      <c r="C8" s="114">
        <f>B7-B8</f>
        <v>87.5</v>
      </c>
      <c r="D8" s="39">
        <f>C8/$B$7</f>
        <v>0.17673197333871946</v>
      </c>
      <c r="F8" s="30" t="s">
        <v>102</v>
      </c>
      <c r="G8" s="16"/>
      <c r="H8" s="16">
        <f>G7-G8</f>
        <v>0</v>
      </c>
      <c r="I8" s="39" t="e">
        <f>H8/$G$7</f>
        <v>#DIV/0!</v>
      </c>
    </row>
    <row r="9" spans="1:9" ht="21" customHeight="1">
      <c r="A9" s="30" t="s">
        <v>103</v>
      </c>
      <c r="B9" s="113">
        <v>407.6</v>
      </c>
      <c r="C9" s="114">
        <f>B8-B9</f>
        <v>0</v>
      </c>
      <c r="D9" s="39">
        <f>C9/$B$7</f>
        <v>0</v>
      </c>
      <c r="F9" s="30" t="s">
        <v>103</v>
      </c>
      <c r="G9" s="16"/>
      <c r="H9" s="16">
        <f>G8-G9</f>
        <v>0</v>
      </c>
      <c r="I9" s="39" t="e">
        <f t="shared" ref="I9:I11" si="0">H9/$G$7</f>
        <v>#DIV/0!</v>
      </c>
    </row>
    <row r="10" spans="1:9" ht="21" customHeight="1">
      <c r="A10" s="30" t="s">
        <v>104</v>
      </c>
      <c r="B10" s="113">
        <v>125.7</v>
      </c>
      <c r="C10" s="114">
        <f>B9-B10</f>
        <v>281.90000000000003</v>
      </c>
      <c r="D10" s="39">
        <f>C10/$B$7</f>
        <v>0.56937992324782871</v>
      </c>
      <c r="F10" s="30" t="s">
        <v>104</v>
      </c>
      <c r="G10" s="16"/>
      <c r="H10" s="16">
        <f>G9-G10</f>
        <v>0</v>
      </c>
      <c r="I10" s="39" t="e">
        <f t="shared" si="0"/>
        <v>#DIV/0!</v>
      </c>
    </row>
    <row r="11" spans="1:9" ht="21" customHeight="1">
      <c r="A11" s="32" t="s">
        <v>105</v>
      </c>
      <c r="B11" s="112">
        <v>125.7</v>
      </c>
      <c r="C11" s="114">
        <f>SUM(C8:C10)</f>
        <v>369.40000000000003</v>
      </c>
      <c r="D11" s="39">
        <f>C11/$B$7</f>
        <v>0.7461118965865482</v>
      </c>
      <c r="F11" s="32" t="s">
        <v>105</v>
      </c>
      <c r="G11" s="33"/>
      <c r="H11" s="16">
        <f>SUM(H8:H10)</f>
        <v>0</v>
      </c>
      <c r="I11" s="39" t="e">
        <f t="shared" si="0"/>
        <v>#DIV/0!</v>
      </c>
    </row>
    <row r="12" spans="1:9" ht="21" customHeight="1">
      <c r="A12" s="17"/>
      <c r="B12" s="18"/>
      <c r="C12" s="19"/>
      <c r="D12" s="19"/>
      <c r="F12" s="17"/>
      <c r="G12" s="18"/>
      <c r="H12" s="19"/>
      <c r="I12" s="19"/>
    </row>
    <row r="14" spans="1:9" ht="20">
      <c r="A14" s="164" t="s">
        <v>125</v>
      </c>
      <c r="B14" s="164"/>
      <c r="C14" s="6"/>
      <c r="D14" s="6"/>
      <c r="F14" s="164" t="s">
        <v>106</v>
      </c>
      <c r="G14" s="164"/>
      <c r="H14" s="6"/>
      <c r="I14" s="6"/>
    </row>
    <row r="15" spans="1:9" ht="31">
      <c r="A15" s="166" t="str">
        <f>IF('Energy Comments'!E15='Energy Comments'!B128,"SAP 2012",IF('Energy Comments'!E15='Energy Comments'!B131,"SAP 2012",IF(OR('Energy Comments'!E15='Energy Comments'!B126,'Energy Comments'!B129='Energy Comments'!E15),"SAP 10.2","SAP 10")))</f>
        <v>SAP 10.2</v>
      </c>
      <c r="B15" s="56" t="s">
        <v>96</v>
      </c>
      <c r="C15" s="165" t="s">
        <v>97</v>
      </c>
      <c r="D15" s="165"/>
      <c r="F15" s="166" t="str">
        <f>A15</f>
        <v>SAP 10.2</v>
      </c>
      <c r="G15" s="56" t="s">
        <v>96</v>
      </c>
      <c r="H15" s="165" t="s">
        <v>97</v>
      </c>
      <c r="I15" s="165"/>
    </row>
    <row r="16" spans="1:9">
      <c r="A16" s="167"/>
      <c r="B16" s="56" t="s">
        <v>98</v>
      </c>
      <c r="C16" s="56" t="s">
        <v>98</v>
      </c>
      <c r="D16" s="56" t="s">
        <v>99</v>
      </c>
      <c r="F16" s="167"/>
      <c r="G16" s="56" t="s">
        <v>98</v>
      </c>
      <c r="H16" s="56" t="s">
        <v>98</v>
      </c>
      <c r="I16" s="56" t="s">
        <v>99</v>
      </c>
    </row>
    <row r="17" spans="1:9" ht="40.5" customHeight="1">
      <c r="A17" s="30" t="s">
        <v>100</v>
      </c>
      <c r="B17" s="115">
        <v>2.8</v>
      </c>
      <c r="C17" s="116"/>
      <c r="D17" s="31"/>
      <c r="F17" s="30" t="s">
        <v>101</v>
      </c>
      <c r="G17" s="16"/>
      <c r="H17" s="31"/>
      <c r="I17" s="31"/>
    </row>
    <row r="18" spans="1:9" ht="21" customHeight="1">
      <c r="A18" s="30" t="s">
        <v>102</v>
      </c>
      <c r="B18" s="115">
        <v>2.2999999999999998</v>
      </c>
      <c r="C18" s="115">
        <f>B17-B18</f>
        <v>0.5</v>
      </c>
      <c r="D18" s="39">
        <f>C18/$B$17</f>
        <v>0.17857142857142858</v>
      </c>
      <c r="F18" s="30" t="s">
        <v>102</v>
      </c>
      <c r="G18" s="16"/>
      <c r="H18" s="16">
        <f>G17-G18</f>
        <v>0</v>
      </c>
      <c r="I18" s="39" t="e">
        <f>H18/$H$17</f>
        <v>#DIV/0!</v>
      </c>
    </row>
    <row r="19" spans="1:9" ht="21" customHeight="1">
      <c r="A19" s="30" t="s">
        <v>103</v>
      </c>
      <c r="B19" s="115">
        <v>2.2999999999999998</v>
      </c>
      <c r="C19" s="115">
        <f>B18-B19</f>
        <v>0</v>
      </c>
      <c r="D19" s="39">
        <f>C19/$B$17</f>
        <v>0</v>
      </c>
      <c r="F19" s="30" t="s">
        <v>103</v>
      </c>
      <c r="G19" s="16"/>
      <c r="H19" s="16">
        <f>G18-G19</f>
        <v>0</v>
      </c>
      <c r="I19" s="39" t="e">
        <f t="shared" ref="I19:I21" si="1">H19/$H$17</f>
        <v>#DIV/0!</v>
      </c>
    </row>
    <row r="20" spans="1:9" ht="21" customHeight="1">
      <c r="A20" s="30" t="s">
        <v>104</v>
      </c>
      <c r="B20" s="115">
        <v>0.9</v>
      </c>
      <c r="C20" s="115">
        <f>B19-B20</f>
        <v>1.4</v>
      </c>
      <c r="D20" s="39">
        <f>C20/$B$17</f>
        <v>0.5</v>
      </c>
      <c r="F20" s="30" t="s">
        <v>104</v>
      </c>
      <c r="G20" s="16"/>
      <c r="H20" s="16">
        <f>G19-G20</f>
        <v>0</v>
      </c>
      <c r="I20" s="39" t="e">
        <f t="shared" si="1"/>
        <v>#DIV/0!</v>
      </c>
    </row>
    <row r="21" spans="1:9" ht="21" customHeight="1">
      <c r="A21" s="32" t="s">
        <v>105</v>
      </c>
      <c r="B21" s="117">
        <v>0.9</v>
      </c>
      <c r="C21" s="115">
        <f>SUM(C18:C20)</f>
        <v>1.9</v>
      </c>
      <c r="D21" s="39">
        <f>C21/$B$17</f>
        <v>0.6785714285714286</v>
      </c>
      <c r="F21" s="32" t="s">
        <v>105</v>
      </c>
      <c r="G21" s="33"/>
      <c r="H21" s="16">
        <f>SUM(H18:H20)</f>
        <v>0</v>
      </c>
      <c r="I21" s="39" t="e">
        <f t="shared" si="1"/>
        <v>#DIV/0!</v>
      </c>
    </row>
    <row r="24" spans="1:9" ht="20">
      <c r="A24" s="164" t="s">
        <v>158</v>
      </c>
      <c r="B24" s="164"/>
      <c r="F24" s="164" t="s">
        <v>107</v>
      </c>
      <c r="G24" s="164"/>
    </row>
    <row r="25" spans="1:9" ht="31">
      <c r="A25" s="34"/>
      <c r="B25" s="21" t="s">
        <v>108</v>
      </c>
      <c r="C25" s="21" t="s">
        <v>109</v>
      </c>
      <c r="F25" s="34"/>
      <c r="G25" s="21" t="s">
        <v>108</v>
      </c>
      <c r="H25" s="21" t="s">
        <v>109</v>
      </c>
    </row>
    <row r="26" spans="1:9" ht="15.5">
      <c r="A26" s="14" t="s">
        <v>110</v>
      </c>
      <c r="B26" s="118">
        <f>B10</f>
        <v>125.7</v>
      </c>
      <c r="C26" s="119">
        <f>B26*95*30</f>
        <v>358245</v>
      </c>
      <c r="F26" s="14" t="s">
        <v>110</v>
      </c>
      <c r="G26" s="15">
        <f>G10</f>
        <v>0</v>
      </c>
      <c r="H26" s="15">
        <f>G26*95*30</f>
        <v>0</v>
      </c>
    </row>
    <row r="27" spans="1:9" ht="15.5">
      <c r="A27" s="14" t="s">
        <v>111</v>
      </c>
      <c r="B27" s="118">
        <f>B20</f>
        <v>0.9</v>
      </c>
      <c r="C27" s="119">
        <f>B27*95*30</f>
        <v>2565</v>
      </c>
      <c r="F27" s="14" t="s">
        <v>111</v>
      </c>
      <c r="G27" s="15">
        <f>G20</f>
        <v>0</v>
      </c>
      <c r="H27" s="15">
        <f>G27*95*30</f>
        <v>0</v>
      </c>
    </row>
    <row r="28" spans="1:9" ht="15.5">
      <c r="A28" s="14" t="s">
        <v>112</v>
      </c>
      <c r="B28" s="118">
        <f>SUM(B26:B27)</f>
        <v>126.60000000000001</v>
      </c>
      <c r="C28" s="119">
        <f>SUM(C26:C27)</f>
        <v>360810</v>
      </c>
      <c r="F28" s="14" t="s">
        <v>112</v>
      </c>
      <c r="G28" s="15">
        <f>SUM(G26:G27)</f>
        <v>0</v>
      </c>
      <c r="H28" s="15">
        <f>SUM(H26:H27)</f>
        <v>0</v>
      </c>
    </row>
  </sheetData>
  <mergeCells count="15">
    <mergeCell ref="F24:G24"/>
    <mergeCell ref="E1:E2"/>
    <mergeCell ref="F4:G4"/>
    <mergeCell ref="F5:F6"/>
    <mergeCell ref="H5:I5"/>
    <mergeCell ref="F14:G14"/>
    <mergeCell ref="F15:F16"/>
    <mergeCell ref="H15:I15"/>
    <mergeCell ref="A24:B24"/>
    <mergeCell ref="C5:D5"/>
    <mergeCell ref="A4:B4"/>
    <mergeCell ref="A14:B14"/>
    <mergeCell ref="C15:D15"/>
    <mergeCell ref="A5:A6"/>
    <mergeCell ref="A15:A16"/>
  </mergeCells>
  <pageMargins left="0.7" right="0.7" top="0.75" bottom="0.75" header="0.3" footer="0.3"/>
  <pageSetup orientation="portrait" r:id="rId1"/>
  <drawing r:id="rId2"/>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A52DAD447344B81164B0BBA3663C9" ma:contentTypeVersion="5" ma:contentTypeDescription="Create a new document." ma:contentTypeScope="" ma:versionID="15c80a9d1c4c0640cdff6ef39fc84fc6">
  <xsd:schema xmlns:xsd="http://www.w3.org/2001/XMLSchema" xmlns:xs="http://www.w3.org/2001/XMLSchema" xmlns:p="http://schemas.microsoft.com/office/2006/metadata/properties" xmlns:ns2="991bf3e1-b7e3-4a9b-b8a9-aee39180f038" xmlns:ns3="0f616013-28ef-4f92-93af-837dc1e85baa" targetNamespace="http://schemas.microsoft.com/office/2006/metadata/properties" ma:root="true" ma:fieldsID="8975ac920ff134a6cb455a7086878dc9" ns2:_="" ns3:_="">
    <xsd:import namespace="991bf3e1-b7e3-4a9b-b8a9-aee39180f038"/>
    <xsd:import namespace="0f616013-28ef-4f92-93af-837dc1e85b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MediaServiceBillingMetadata"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bf3e1-b7e3-4a9b-b8a9-aee39180f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616013-28ef-4f92-93af-837dc1e85baa" elementFormDefault="qualified">
    <xsd:import namespace="http://schemas.microsoft.com/office/2006/documentManagement/types"/>
    <xsd:import namespace="http://schemas.microsoft.com/office/infopath/2007/PartnerControls"/>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c4632c-c0dc-4527-9b44-4e2626a7d4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616013-28ef-4f92-93af-837dc1e85b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8B889C-55F8-4278-A66F-198B40262EEA}">
  <ds:schemaRefs>
    <ds:schemaRef ds:uri="http://schemas.microsoft.com/sharepoint/v3/contenttype/forms"/>
  </ds:schemaRefs>
</ds:datastoreItem>
</file>

<file path=customXml/itemProps2.xml><?xml version="1.0" encoding="utf-8"?>
<ds:datastoreItem xmlns:ds="http://schemas.openxmlformats.org/officeDocument/2006/customXml" ds:itemID="{D52826AC-9173-4812-8B29-0CD5A399BF0E}"/>
</file>

<file path=customXml/itemProps3.xml><?xml version="1.0" encoding="utf-8"?>
<ds:datastoreItem xmlns:ds="http://schemas.openxmlformats.org/officeDocument/2006/customXml" ds:itemID="{7B15C877-1E76-43C4-B218-EB1E8BD185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Worksheets</vt:lpstr>
      </vt:variant>
      <vt:variant>
        <vt:i4>3</vt:i4>
      </vt:variant>
    </vt:vector>
  </HeadingPairs>
  <TitlesOfParts>
    <vt:vector size="3" baseType="lpstr">
      <vt:lpstr>Case details</vt:lpstr>
      <vt:lpstr>Energy Comments</vt:lpstr>
      <vt:lpstr>CO2 performance</vt:lpstr>
    </vt:vector>
  </TitlesOfParts>
  <Manager/>
  <Company/>
  <LinksUpToDate>false</LinksUpToDate>
  <SharedDoc>false</SharedDoc>
  <HyperlinkBase/>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2022-01-28T17:23:13Z</dcterms:created>
  <dcterms:modified xsi:type="dcterms:W3CDTF">2026-07-15T13:52:09Z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0x01010075BA52DAD447344B81164B0BBA3663C9</vt:lpwstr>
  </property>
</Properties>
</file>