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C68" w14:textId="037E10CF" w:rsidR="00E71540" w:rsidRDefault="00137357" w:rsidP="00E71540">
      <w:pPr>
        <w:pStyle w:val="Heading1"/>
      </w:pPr>
      <w:r>
        <w:t>Tree Canopy Cover Ward</w:t>
      </w:r>
      <w:r w:rsidR="00E71540">
        <w:t xml:space="preserve"> Prioritisation Tool: User Guide</w:t>
      </w:r>
      <w:bookmarkStart w:id="0" w:name="_GoBack"/>
      <w:bookmarkEnd w:id="0"/>
    </w:p>
    <w:p w14:paraId="3DCA6E4C" w14:textId="77777777" w:rsidR="00E71540" w:rsidRDefault="00E71540" w:rsidP="00AF22A0">
      <w:pPr>
        <w:rPr>
          <w:b/>
          <w:bCs/>
        </w:rPr>
      </w:pPr>
    </w:p>
    <w:p w14:paraId="526FD989" w14:textId="27F945BF" w:rsidR="00E71540" w:rsidRDefault="00E71540" w:rsidP="00AF22A0">
      <w:pPr>
        <w:rPr>
          <w:b/>
          <w:bCs/>
        </w:rPr>
      </w:pPr>
    </w:p>
    <w:p w14:paraId="20F57639" w14:textId="499765AF" w:rsidR="00E71540" w:rsidRDefault="00E71540" w:rsidP="00AF22A0">
      <w:pPr>
        <w:rPr>
          <w:b/>
          <w:bCs/>
        </w:rPr>
      </w:pPr>
      <w:r>
        <w:rPr>
          <w:b/>
          <w:bCs/>
        </w:rPr>
        <w:t>Introduction</w:t>
      </w:r>
    </w:p>
    <w:p w14:paraId="5024D50C" w14:textId="300E0B78" w:rsidR="00E71540" w:rsidRDefault="00E71540" w:rsidP="00AF22A0">
      <w:pPr>
        <w:rPr>
          <w:b/>
          <w:bCs/>
        </w:rPr>
      </w:pPr>
    </w:p>
    <w:p w14:paraId="6CD4DECB" w14:textId="039972B3" w:rsidR="00E71540" w:rsidRDefault="00586A58" w:rsidP="00AF22A0">
      <w:r>
        <w:t>This is</w:t>
      </w:r>
      <w:r w:rsidR="00E71540">
        <w:t xml:space="preserve"> a new tool to help decision-makers choose which locations within London might be prioritised for tree planting. This tool presents the Curio Canopy – London Tree Canopy Cover map at ward scale</w:t>
      </w:r>
      <w:r w:rsidR="00E71540">
        <w:rPr>
          <w:rStyle w:val="FootnoteReference"/>
        </w:rPr>
        <w:footnoteReference w:id="1"/>
      </w:r>
      <w:r w:rsidR="00E71540">
        <w:t>, alongside several other environmental and social datasets.</w:t>
      </w:r>
    </w:p>
    <w:p w14:paraId="18B1EEB2" w14:textId="3057DF51" w:rsidR="00E71540" w:rsidRDefault="00E71540" w:rsidP="00AF22A0"/>
    <w:p w14:paraId="3AB431B2" w14:textId="214BE08F" w:rsidR="00CD29B5" w:rsidRPr="00CD29B5" w:rsidRDefault="00E71540" w:rsidP="00AF22A0">
      <w:r>
        <w:t xml:space="preserve">There are multiple factors that influence both the existing variation in tree canopy cover across the capital, and the potential for increasing canopy cover, including population density, land use, differences in natural vegetation and existing habitats, </w:t>
      </w:r>
      <w:r w:rsidR="00CD29B5">
        <w:t>soil type and topography. This tool is not a prescriptive guide to where canopy cover should be increased. It is designed as a tool to help decision-makers including local authorities, NGOs and funders, as well as Londoners, to identify where canopy cover is low, and where further consideration might be given to increasing canopy cover, based on a suite of different factors.</w:t>
      </w:r>
    </w:p>
    <w:p w14:paraId="522DCFA1" w14:textId="77777777" w:rsidR="00CD29B5" w:rsidRDefault="00CD29B5" w:rsidP="00AF22A0">
      <w:pPr>
        <w:rPr>
          <w:b/>
          <w:bCs/>
        </w:rPr>
      </w:pPr>
    </w:p>
    <w:p w14:paraId="5C120480" w14:textId="67137366" w:rsidR="00CD29B5" w:rsidRDefault="00E30A37" w:rsidP="00AF22A0">
      <w:pPr>
        <w:rPr>
          <w:b/>
          <w:bCs/>
        </w:rPr>
      </w:pPr>
      <w:r>
        <w:rPr>
          <w:b/>
          <w:bCs/>
        </w:rPr>
        <w:t>The tool</w:t>
      </w:r>
    </w:p>
    <w:p w14:paraId="36E3EC54" w14:textId="60EE25FC" w:rsidR="00CD29B5" w:rsidRDefault="00CD29B5" w:rsidP="00AF22A0">
      <w:pPr>
        <w:rPr>
          <w:b/>
          <w:bCs/>
        </w:rPr>
      </w:pPr>
    </w:p>
    <w:p w14:paraId="15E6C70F" w14:textId="77777777" w:rsidR="00E20DC7" w:rsidRDefault="00CD29B5" w:rsidP="00AF22A0">
      <w:r>
        <w:t>The ward</w:t>
      </w:r>
      <w:r w:rsidR="00E20DC7">
        <w:t xml:space="preserve"> </w:t>
      </w:r>
      <w:r>
        <w:t>prioritisation tool includes</w:t>
      </w:r>
      <w:r w:rsidR="00E20DC7">
        <w:t xml:space="preserve"> nine environmental and social factors, detailed in the table below. </w:t>
      </w:r>
    </w:p>
    <w:p w14:paraId="3692DD25" w14:textId="77777777" w:rsidR="00E20DC7" w:rsidRDefault="00E20DC7" w:rsidP="00AF22A0"/>
    <w:p w14:paraId="2B341BBA" w14:textId="2B25FA5C" w:rsidR="00BD41D7" w:rsidRDefault="00E20DC7" w:rsidP="00AF22A0">
      <w:r>
        <w:t xml:space="preserve">For each factor where quantitative data is available the </w:t>
      </w:r>
      <w:r w:rsidR="00BD41D7">
        <w:t>data value</w:t>
      </w:r>
      <w:r>
        <w:t xml:space="preserve"> for each ward is included, alongside the London-wide rank (where 1 is greatest need e.g. lowest tree canopy cover), and the decile (i.e. 1 = in top 10% of wards when ranked by greatest need; 9 = in top 90% of wards when ranked by greatest need). For water quality and surface water flood risk, wards are flagged where there are locations within the ward that exceed a given value.</w:t>
      </w:r>
    </w:p>
    <w:p w14:paraId="399CBC7C" w14:textId="77777777" w:rsidR="00E30A37" w:rsidRDefault="00E30A37"/>
    <w:p w14:paraId="78FC8578" w14:textId="77777777" w:rsidR="00E30A37" w:rsidRDefault="00E30A37">
      <w:r>
        <w:t>The ward prioritisation tool is in the format of a spreadsheet with filters, allowing users to rank or filter wards by different factors according to their priorities. This could include:</w:t>
      </w:r>
    </w:p>
    <w:p w14:paraId="33863E11" w14:textId="77777777" w:rsidR="00E30A37" w:rsidRDefault="00E30A37"/>
    <w:p w14:paraId="141E1FED" w14:textId="77777777" w:rsidR="00E30A37" w:rsidRDefault="00E30A37" w:rsidP="00E30A37">
      <w:pPr>
        <w:pStyle w:val="ListParagraph"/>
        <w:numPr>
          <w:ilvl w:val="0"/>
          <w:numId w:val="2"/>
        </w:numPr>
        <w:ind w:left="284" w:hanging="317"/>
      </w:pPr>
      <w:r>
        <w:t>Deciding on which (combination of) factors are most important in their area of interest</w:t>
      </w:r>
    </w:p>
    <w:p w14:paraId="78222D6F" w14:textId="77777777" w:rsidR="00137357" w:rsidRDefault="00E30A37" w:rsidP="00E30A37">
      <w:pPr>
        <w:pStyle w:val="ListParagraph"/>
        <w:numPr>
          <w:ilvl w:val="0"/>
          <w:numId w:val="2"/>
        </w:numPr>
        <w:ind w:left="284" w:hanging="317"/>
      </w:pPr>
      <w:r>
        <w:t>Deciding on appropriate thresholds for their chosen factors</w:t>
      </w:r>
    </w:p>
    <w:p w14:paraId="47C5B440" w14:textId="77777777" w:rsidR="00137357" w:rsidRDefault="00137357" w:rsidP="00137357"/>
    <w:p w14:paraId="440E3C9B" w14:textId="686DE1FB" w:rsidR="00137357" w:rsidRDefault="00137357" w:rsidP="00137357">
      <w:r w:rsidRPr="00137357">
        <w:t>For a full description of the methodology used to create the Ward Prioritisation Tool, see Maplango (2019) Urban Forest Plan Tree Planting Prioritisation and Opportunity Mappin</w:t>
      </w:r>
      <w:r w:rsidR="00EB144E">
        <w:t>g,</w:t>
      </w:r>
      <w:r w:rsidRPr="00137357">
        <w:t xml:space="preserve"> at: </w:t>
      </w:r>
      <w:hyperlink r:id="rId8" w:history="1">
        <w:r w:rsidRPr="00A5579C">
          <w:rPr>
            <w:rStyle w:val="Hyperlink"/>
          </w:rPr>
          <w:t>https://data.london.gov.uk/dataset/tree-canopy-cover-prioritisation-tool</w:t>
        </w:r>
      </w:hyperlink>
    </w:p>
    <w:p w14:paraId="55FD7D87" w14:textId="77777777" w:rsidR="00137357" w:rsidRPr="00137357" w:rsidRDefault="00137357" w:rsidP="00137357"/>
    <w:p w14:paraId="6508A80A" w14:textId="6163ABE1" w:rsidR="00BD41D7" w:rsidRDefault="00BD41D7" w:rsidP="00137357">
      <w:r>
        <w:br w:type="page"/>
      </w:r>
    </w:p>
    <w:p w14:paraId="124E368E" w14:textId="77777777" w:rsidR="00BD41D7" w:rsidRDefault="00BD41D7">
      <w:pPr>
        <w:sectPr w:rsidR="00BD41D7" w:rsidSect="00AF22A0">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405"/>
        <w:gridCol w:w="1670"/>
        <w:gridCol w:w="3051"/>
        <w:gridCol w:w="4411"/>
        <w:gridCol w:w="3637"/>
      </w:tblGrid>
      <w:tr w:rsidR="00BD41D7" w:rsidRPr="00E30A37" w14:paraId="4939C554" w14:textId="19C577C6" w:rsidTr="00BD41D7">
        <w:tc>
          <w:tcPr>
            <w:tcW w:w="1405" w:type="dxa"/>
          </w:tcPr>
          <w:p w14:paraId="2DD620D7" w14:textId="77777777" w:rsidR="00BD41D7" w:rsidRPr="00E30A37" w:rsidRDefault="00BD41D7" w:rsidP="00351381">
            <w:pPr>
              <w:rPr>
                <w:b/>
                <w:bCs/>
                <w:sz w:val="20"/>
                <w:szCs w:val="20"/>
              </w:rPr>
            </w:pPr>
            <w:r w:rsidRPr="00E30A37">
              <w:rPr>
                <w:b/>
                <w:bCs/>
                <w:sz w:val="20"/>
                <w:szCs w:val="20"/>
              </w:rPr>
              <w:lastRenderedPageBreak/>
              <w:t>Factor</w:t>
            </w:r>
          </w:p>
        </w:tc>
        <w:tc>
          <w:tcPr>
            <w:tcW w:w="1670" w:type="dxa"/>
          </w:tcPr>
          <w:p w14:paraId="0AB6B1F3" w14:textId="77777777" w:rsidR="00BD41D7" w:rsidRPr="00E30A37" w:rsidRDefault="00BD41D7" w:rsidP="00351381">
            <w:pPr>
              <w:rPr>
                <w:b/>
                <w:bCs/>
                <w:sz w:val="20"/>
                <w:szCs w:val="20"/>
              </w:rPr>
            </w:pPr>
            <w:r w:rsidRPr="00E30A37">
              <w:rPr>
                <w:b/>
                <w:bCs/>
                <w:sz w:val="20"/>
                <w:szCs w:val="20"/>
              </w:rPr>
              <w:t>Measurement</w:t>
            </w:r>
          </w:p>
        </w:tc>
        <w:tc>
          <w:tcPr>
            <w:tcW w:w="3051" w:type="dxa"/>
          </w:tcPr>
          <w:p w14:paraId="1DD56297" w14:textId="77777777" w:rsidR="00BD41D7" w:rsidRPr="00E30A37" w:rsidRDefault="00BD41D7" w:rsidP="00351381">
            <w:pPr>
              <w:rPr>
                <w:b/>
                <w:bCs/>
                <w:sz w:val="20"/>
                <w:szCs w:val="20"/>
              </w:rPr>
            </w:pPr>
            <w:r w:rsidRPr="00E30A37">
              <w:rPr>
                <w:b/>
                <w:bCs/>
                <w:sz w:val="20"/>
                <w:szCs w:val="20"/>
              </w:rPr>
              <w:t>Data source</w:t>
            </w:r>
          </w:p>
        </w:tc>
        <w:tc>
          <w:tcPr>
            <w:tcW w:w="4411" w:type="dxa"/>
          </w:tcPr>
          <w:p w14:paraId="1E33EDE2" w14:textId="77777777" w:rsidR="00BD41D7" w:rsidRPr="00E30A37" w:rsidRDefault="00BD41D7" w:rsidP="00351381">
            <w:pPr>
              <w:rPr>
                <w:b/>
                <w:bCs/>
                <w:sz w:val="20"/>
                <w:szCs w:val="20"/>
              </w:rPr>
            </w:pPr>
            <w:r w:rsidRPr="00E30A37">
              <w:rPr>
                <w:b/>
                <w:bCs/>
                <w:sz w:val="20"/>
                <w:szCs w:val="20"/>
              </w:rPr>
              <w:t>Link</w:t>
            </w:r>
          </w:p>
        </w:tc>
        <w:tc>
          <w:tcPr>
            <w:tcW w:w="3637" w:type="dxa"/>
          </w:tcPr>
          <w:p w14:paraId="47909ED3" w14:textId="16A14671" w:rsidR="00BD41D7" w:rsidRPr="00E30A37" w:rsidRDefault="00BD41D7" w:rsidP="00351381">
            <w:pPr>
              <w:rPr>
                <w:b/>
                <w:bCs/>
                <w:sz w:val="20"/>
                <w:szCs w:val="20"/>
              </w:rPr>
            </w:pPr>
            <w:r w:rsidRPr="00E30A37">
              <w:rPr>
                <w:b/>
                <w:bCs/>
                <w:sz w:val="20"/>
                <w:szCs w:val="20"/>
              </w:rPr>
              <w:t>Notes</w:t>
            </w:r>
          </w:p>
        </w:tc>
      </w:tr>
      <w:tr w:rsidR="00BD41D7" w:rsidRPr="00E30A37" w14:paraId="7C36DD9E" w14:textId="1229F1D3" w:rsidTr="00BD41D7">
        <w:tc>
          <w:tcPr>
            <w:tcW w:w="1405" w:type="dxa"/>
          </w:tcPr>
          <w:p w14:paraId="4853F345" w14:textId="77777777" w:rsidR="00BD41D7" w:rsidRPr="00E30A37" w:rsidRDefault="00BD41D7" w:rsidP="00351381">
            <w:pPr>
              <w:rPr>
                <w:sz w:val="20"/>
                <w:szCs w:val="20"/>
              </w:rPr>
            </w:pPr>
            <w:r w:rsidRPr="00E30A37">
              <w:rPr>
                <w:sz w:val="20"/>
                <w:szCs w:val="20"/>
              </w:rPr>
              <w:t>Tree canopy cover</w:t>
            </w:r>
          </w:p>
        </w:tc>
        <w:tc>
          <w:tcPr>
            <w:tcW w:w="1670" w:type="dxa"/>
          </w:tcPr>
          <w:p w14:paraId="57A86A0B" w14:textId="77777777" w:rsidR="00BD41D7" w:rsidRPr="00E30A37" w:rsidRDefault="00BD41D7" w:rsidP="00351381">
            <w:pPr>
              <w:rPr>
                <w:sz w:val="20"/>
                <w:szCs w:val="20"/>
              </w:rPr>
            </w:pPr>
            <w:r w:rsidRPr="00E30A37">
              <w:rPr>
                <w:sz w:val="20"/>
                <w:szCs w:val="20"/>
              </w:rPr>
              <w:t>% of the ward under tree canopy cover</w:t>
            </w:r>
          </w:p>
        </w:tc>
        <w:tc>
          <w:tcPr>
            <w:tcW w:w="3051" w:type="dxa"/>
          </w:tcPr>
          <w:p w14:paraId="72F908E0" w14:textId="77777777" w:rsidR="00BD41D7" w:rsidRPr="00E30A37" w:rsidRDefault="00BD41D7" w:rsidP="00351381">
            <w:pPr>
              <w:rPr>
                <w:sz w:val="20"/>
                <w:szCs w:val="20"/>
              </w:rPr>
            </w:pPr>
            <w:r w:rsidRPr="00E30A37">
              <w:rPr>
                <w:sz w:val="20"/>
                <w:szCs w:val="20"/>
              </w:rPr>
              <w:t xml:space="preserve">Curio Canopy – London Tree Canopy Cover map: </w:t>
            </w:r>
          </w:p>
        </w:tc>
        <w:tc>
          <w:tcPr>
            <w:tcW w:w="4411" w:type="dxa"/>
          </w:tcPr>
          <w:p w14:paraId="56D67442" w14:textId="77777777" w:rsidR="00BD41D7" w:rsidRPr="00E30A37" w:rsidRDefault="009E323F" w:rsidP="00351381">
            <w:pPr>
              <w:rPr>
                <w:sz w:val="20"/>
                <w:szCs w:val="20"/>
              </w:rPr>
            </w:pPr>
            <w:hyperlink r:id="rId9" w:history="1">
              <w:r w:rsidR="00BD41D7" w:rsidRPr="00E30A37">
                <w:rPr>
                  <w:rStyle w:val="Hyperlink"/>
                  <w:sz w:val="20"/>
                  <w:szCs w:val="20"/>
                </w:rPr>
                <w:t>https://data.london.gov.uk/dataset/curio-canopy</w:t>
              </w:r>
            </w:hyperlink>
            <w:r w:rsidR="00BD41D7" w:rsidRPr="00E30A37">
              <w:rPr>
                <w:sz w:val="20"/>
                <w:szCs w:val="20"/>
              </w:rPr>
              <w:t xml:space="preserve"> </w:t>
            </w:r>
          </w:p>
        </w:tc>
        <w:tc>
          <w:tcPr>
            <w:tcW w:w="3637" w:type="dxa"/>
          </w:tcPr>
          <w:p w14:paraId="6E2EF814" w14:textId="77777777" w:rsidR="00BD41D7" w:rsidRPr="00E30A37" w:rsidRDefault="00BD41D7" w:rsidP="00351381">
            <w:pPr>
              <w:rPr>
                <w:sz w:val="20"/>
                <w:szCs w:val="20"/>
              </w:rPr>
            </w:pPr>
          </w:p>
        </w:tc>
      </w:tr>
      <w:tr w:rsidR="00BD41D7" w:rsidRPr="00E30A37" w14:paraId="67487D23" w14:textId="1AEFFB99" w:rsidTr="00BD41D7">
        <w:tc>
          <w:tcPr>
            <w:tcW w:w="1405" w:type="dxa"/>
          </w:tcPr>
          <w:p w14:paraId="5FE0E7D7" w14:textId="77777777" w:rsidR="00BD41D7" w:rsidRPr="00E30A37" w:rsidRDefault="00BD41D7" w:rsidP="00351381">
            <w:pPr>
              <w:rPr>
                <w:sz w:val="20"/>
                <w:szCs w:val="20"/>
              </w:rPr>
            </w:pPr>
            <w:r w:rsidRPr="00E30A37">
              <w:rPr>
                <w:sz w:val="20"/>
                <w:szCs w:val="20"/>
              </w:rPr>
              <w:t>Green/blue cover</w:t>
            </w:r>
          </w:p>
        </w:tc>
        <w:tc>
          <w:tcPr>
            <w:tcW w:w="1670" w:type="dxa"/>
          </w:tcPr>
          <w:p w14:paraId="522AFD3E" w14:textId="77777777" w:rsidR="00BD41D7" w:rsidRPr="00E30A37" w:rsidRDefault="00BD41D7" w:rsidP="00351381">
            <w:pPr>
              <w:rPr>
                <w:sz w:val="20"/>
                <w:szCs w:val="20"/>
              </w:rPr>
            </w:pPr>
            <w:r w:rsidRPr="00E30A37">
              <w:rPr>
                <w:sz w:val="20"/>
                <w:szCs w:val="20"/>
              </w:rPr>
              <w:t>% of the ward that is green/blue cover</w:t>
            </w:r>
          </w:p>
        </w:tc>
        <w:tc>
          <w:tcPr>
            <w:tcW w:w="3051" w:type="dxa"/>
          </w:tcPr>
          <w:p w14:paraId="56422111" w14:textId="77777777" w:rsidR="00BD41D7" w:rsidRPr="00E30A37" w:rsidRDefault="00BD41D7" w:rsidP="00351381">
            <w:pPr>
              <w:rPr>
                <w:sz w:val="20"/>
                <w:szCs w:val="20"/>
              </w:rPr>
            </w:pPr>
            <w:r w:rsidRPr="00E30A37">
              <w:rPr>
                <w:sz w:val="20"/>
                <w:szCs w:val="20"/>
              </w:rPr>
              <w:t>London Green and Blue Cover map</w:t>
            </w:r>
          </w:p>
        </w:tc>
        <w:tc>
          <w:tcPr>
            <w:tcW w:w="4411" w:type="dxa"/>
          </w:tcPr>
          <w:p w14:paraId="41FB7872" w14:textId="77777777" w:rsidR="00BD41D7" w:rsidRPr="00E30A37" w:rsidRDefault="009E323F" w:rsidP="00351381">
            <w:pPr>
              <w:rPr>
                <w:sz w:val="20"/>
                <w:szCs w:val="20"/>
              </w:rPr>
            </w:pPr>
            <w:hyperlink r:id="rId10" w:history="1">
              <w:r w:rsidR="00BD41D7" w:rsidRPr="00E30A37">
                <w:rPr>
                  <w:rStyle w:val="Hyperlink"/>
                  <w:sz w:val="20"/>
                  <w:szCs w:val="20"/>
                </w:rPr>
                <w:t>https://data.london.gov.uk/dataset/green-and-blue-cover</w:t>
              </w:r>
            </w:hyperlink>
            <w:r w:rsidR="00BD41D7" w:rsidRPr="00E30A37">
              <w:rPr>
                <w:sz w:val="20"/>
                <w:szCs w:val="20"/>
              </w:rPr>
              <w:t xml:space="preserve"> </w:t>
            </w:r>
          </w:p>
        </w:tc>
        <w:tc>
          <w:tcPr>
            <w:tcW w:w="3637" w:type="dxa"/>
          </w:tcPr>
          <w:p w14:paraId="0393D874" w14:textId="77777777" w:rsidR="00BD41D7" w:rsidRPr="00E30A37" w:rsidRDefault="00BD41D7" w:rsidP="00351381">
            <w:pPr>
              <w:rPr>
                <w:sz w:val="20"/>
                <w:szCs w:val="20"/>
              </w:rPr>
            </w:pPr>
          </w:p>
        </w:tc>
      </w:tr>
      <w:tr w:rsidR="00BD41D7" w:rsidRPr="00E30A37" w14:paraId="0015AB47" w14:textId="59E392A3" w:rsidTr="00BD41D7">
        <w:tc>
          <w:tcPr>
            <w:tcW w:w="1405" w:type="dxa"/>
          </w:tcPr>
          <w:p w14:paraId="62F58BBE" w14:textId="77777777" w:rsidR="00BD41D7" w:rsidRPr="00E30A37" w:rsidRDefault="00BD41D7" w:rsidP="00351381">
            <w:pPr>
              <w:rPr>
                <w:sz w:val="20"/>
                <w:szCs w:val="20"/>
              </w:rPr>
            </w:pPr>
            <w:r w:rsidRPr="00E30A37">
              <w:rPr>
                <w:sz w:val="20"/>
                <w:szCs w:val="20"/>
              </w:rPr>
              <w:t>Index of multiple deprivation</w:t>
            </w:r>
          </w:p>
        </w:tc>
        <w:tc>
          <w:tcPr>
            <w:tcW w:w="1670" w:type="dxa"/>
          </w:tcPr>
          <w:p w14:paraId="00FEE4AC" w14:textId="1C08B430" w:rsidR="00BD41D7" w:rsidRPr="00E30A37" w:rsidRDefault="004A68AF" w:rsidP="00351381">
            <w:pPr>
              <w:rPr>
                <w:sz w:val="20"/>
                <w:szCs w:val="20"/>
              </w:rPr>
            </w:pPr>
            <w:r w:rsidRPr="00E30A37">
              <w:rPr>
                <w:sz w:val="20"/>
                <w:szCs w:val="20"/>
              </w:rPr>
              <w:t>Mean IMD score per ward</w:t>
            </w:r>
          </w:p>
        </w:tc>
        <w:tc>
          <w:tcPr>
            <w:tcW w:w="3051" w:type="dxa"/>
          </w:tcPr>
          <w:p w14:paraId="4D975C7F" w14:textId="03D91D07" w:rsidR="00BD41D7" w:rsidRPr="00E30A37" w:rsidRDefault="004A68AF" w:rsidP="00351381">
            <w:pPr>
              <w:rPr>
                <w:sz w:val="20"/>
                <w:szCs w:val="20"/>
              </w:rPr>
            </w:pPr>
            <w:r w:rsidRPr="00E30A37">
              <w:rPr>
                <w:sz w:val="20"/>
                <w:szCs w:val="20"/>
              </w:rPr>
              <w:t>English indices of deprivation 2015</w:t>
            </w:r>
          </w:p>
        </w:tc>
        <w:tc>
          <w:tcPr>
            <w:tcW w:w="4411" w:type="dxa"/>
          </w:tcPr>
          <w:p w14:paraId="42C44EF3" w14:textId="48F15BC8" w:rsidR="00BD41D7" w:rsidRPr="00E30A37" w:rsidRDefault="009E323F" w:rsidP="00351381">
            <w:pPr>
              <w:rPr>
                <w:sz w:val="20"/>
                <w:szCs w:val="20"/>
              </w:rPr>
            </w:pPr>
            <w:hyperlink r:id="rId11" w:history="1">
              <w:r w:rsidR="004A68AF" w:rsidRPr="00E30A37">
                <w:rPr>
                  <w:rStyle w:val="Hyperlink"/>
                  <w:sz w:val="20"/>
                  <w:szCs w:val="20"/>
                </w:rPr>
                <w:t>https://www.gov.uk/government/statistics/english-indices-of-deprivation-2015</w:t>
              </w:r>
            </w:hyperlink>
            <w:r w:rsidR="004A68AF" w:rsidRPr="00E30A37">
              <w:rPr>
                <w:sz w:val="20"/>
                <w:szCs w:val="20"/>
              </w:rPr>
              <w:t xml:space="preserve"> </w:t>
            </w:r>
          </w:p>
        </w:tc>
        <w:tc>
          <w:tcPr>
            <w:tcW w:w="3637" w:type="dxa"/>
          </w:tcPr>
          <w:p w14:paraId="0A7D4F69" w14:textId="091FCF36" w:rsidR="00BD41D7" w:rsidRPr="00E30A37" w:rsidRDefault="004A68AF" w:rsidP="00351381">
            <w:pPr>
              <w:rPr>
                <w:sz w:val="20"/>
                <w:szCs w:val="20"/>
              </w:rPr>
            </w:pPr>
            <w:r w:rsidRPr="00E30A37">
              <w:rPr>
                <w:sz w:val="20"/>
                <w:szCs w:val="20"/>
              </w:rPr>
              <w:t>Raw IMD data is at LSOA scale</w:t>
            </w:r>
          </w:p>
        </w:tc>
      </w:tr>
      <w:tr w:rsidR="00BD41D7" w:rsidRPr="00E30A37" w14:paraId="5676CC74" w14:textId="045C1A9B" w:rsidTr="004A68AF">
        <w:trPr>
          <w:trHeight w:val="263"/>
        </w:trPr>
        <w:tc>
          <w:tcPr>
            <w:tcW w:w="1405" w:type="dxa"/>
          </w:tcPr>
          <w:p w14:paraId="5A5884F4" w14:textId="77777777" w:rsidR="00BD41D7" w:rsidRPr="00E30A37" w:rsidRDefault="00BD41D7" w:rsidP="00351381">
            <w:pPr>
              <w:rPr>
                <w:sz w:val="20"/>
                <w:szCs w:val="20"/>
              </w:rPr>
            </w:pPr>
            <w:r w:rsidRPr="00E30A37">
              <w:rPr>
                <w:sz w:val="20"/>
                <w:szCs w:val="20"/>
              </w:rPr>
              <w:t>Urban Heat Island</w:t>
            </w:r>
          </w:p>
        </w:tc>
        <w:tc>
          <w:tcPr>
            <w:tcW w:w="1670" w:type="dxa"/>
          </w:tcPr>
          <w:p w14:paraId="10F16D65" w14:textId="2465B3F9" w:rsidR="00BD41D7" w:rsidRPr="00E30A37" w:rsidRDefault="004A68AF" w:rsidP="00351381">
            <w:pPr>
              <w:rPr>
                <w:sz w:val="20"/>
                <w:szCs w:val="20"/>
              </w:rPr>
            </w:pPr>
            <w:r w:rsidRPr="00E30A37">
              <w:rPr>
                <w:sz w:val="20"/>
                <w:szCs w:val="20"/>
              </w:rPr>
              <w:t xml:space="preserve">Modelled mean summer night-time temperature </w:t>
            </w:r>
          </w:p>
        </w:tc>
        <w:tc>
          <w:tcPr>
            <w:tcW w:w="3051" w:type="dxa"/>
          </w:tcPr>
          <w:p w14:paraId="18FE7A42" w14:textId="570C8887" w:rsidR="00BD41D7" w:rsidRPr="00E30A37" w:rsidRDefault="004A68AF" w:rsidP="00351381">
            <w:pPr>
              <w:rPr>
                <w:sz w:val="20"/>
                <w:szCs w:val="20"/>
              </w:rPr>
            </w:pPr>
            <w:r w:rsidRPr="00E30A37">
              <w:rPr>
                <w:sz w:val="20"/>
                <w:szCs w:val="20"/>
              </w:rPr>
              <w:t>London’s Urban Heat Island – Average Summer (UrbClim model)</w:t>
            </w:r>
          </w:p>
        </w:tc>
        <w:tc>
          <w:tcPr>
            <w:tcW w:w="4411" w:type="dxa"/>
          </w:tcPr>
          <w:p w14:paraId="75A50326" w14:textId="1EC1ACFD" w:rsidR="00BD41D7" w:rsidRPr="00E30A37" w:rsidRDefault="009E323F" w:rsidP="00351381">
            <w:pPr>
              <w:rPr>
                <w:sz w:val="20"/>
                <w:szCs w:val="20"/>
              </w:rPr>
            </w:pPr>
            <w:hyperlink r:id="rId12" w:history="1">
              <w:r w:rsidR="004A68AF" w:rsidRPr="00E30A37">
                <w:rPr>
                  <w:rStyle w:val="Hyperlink"/>
                  <w:sz w:val="20"/>
                  <w:szCs w:val="20"/>
                </w:rPr>
                <w:t>https://data.london.gov.uk/dataset/london-s-urban-heat-island---average-summer</w:t>
              </w:r>
            </w:hyperlink>
            <w:r w:rsidR="004A68AF" w:rsidRPr="00E30A37">
              <w:rPr>
                <w:sz w:val="20"/>
                <w:szCs w:val="20"/>
              </w:rPr>
              <w:t xml:space="preserve"> </w:t>
            </w:r>
          </w:p>
        </w:tc>
        <w:tc>
          <w:tcPr>
            <w:tcW w:w="3637" w:type="dxa"/>
          </w:tcPr>
          <w:p w14:paraId="5C756D45" w14:textId="2F961E3E" w:rsidR="00BD41D7" w:rsidRPr="00E30A37" w:rsidRDefault="004A68AF" w:rsidP="00351381">
            <w:pPr>
              <w:rPr>
                <w:sz w:val="20"/>
                <w:szCs w:val="20"/>
              </w:rPr>
            </w:pPr>
            <w:r w:rsidRPr="00E30A37">
              <w:rPr>
                <w:sz w:val="20"/>
                <w:szCs w:val="20"/>
              </w:rPr>
              <w:t xml:space="preserve">Raw data is point </w:t>
            </w:r>
            <w:proofErr w:type="gramStart"/>
            <w:r w:rsidRPr="00E30A37">
              <w:rPr>
                <w:sz w:val="20"/>
                <w:szCs w:val="20"/>
              </w:rPr>
              <w:t>data,</w:t>
            </w:r>
            <w:proofErr w:type="gramEnd"/>
            <w:r w:rsidRPr="00E30A37">
              <w:rPr>
                <w:sz w:val="20"/>
                <w:szCs w:val="20"/>
              </w:rPr>
              <w:t xml:space="preserve"> ward value is mean of points within the ward</w:t>
            </w:r>
          </w:p>
        </w:tc>
      </w:tr>
      <w:tr w:rsidR="00BD41D7" w:rsidRPr="00E30A37" w14:paraId="4F4E60EC" w14:textId="1FEDDC6A" w:rsidTr="00BD41D7">
        <w:tc>
          <w:tcPr>
            <w:tcW w:w="1405" w:type="dxa"/>
          </w:tcPr>
          <w:p w14:paraId="268E5D87" w14:textId="77777777" w:rsidR="00BD41D7" w:rsidRPr="00E30A37" w:rsidRDefault="00BD41D7" w:rsidP="00351381">
            <w:pPr>
              <w:rPr>
                <w:sz w:val="20"/>
                <w:szCs w:val="20"/>
              </w:rPr>
            </w:pPr>
            <w:r w:rsidRPr="00E30A37">
              <w:rPr>
                <w:sz w:val="20"/>
                <w:szCs w:val="20"/>
              </w:rPr>
              <w:t>NO</w:t>
            </w:r>
            <w:r w:rsidRPr="00E30A37">
              <w:rPr>
                <w:sz w:val="20"/>
                <w:szCs w:val="20"/>
                <w:vertAlign w:val="subscript"/>
              </w:rPr>
              <w:t>2</w:t>
            </w:r>
            <w:r w:rsidRPr="00E30A37">
              <w:rPr>
                <w:sz w:val="20"/>
                <w:szCs w:val="20"/>
              </w:rPr>
              <w:t xml:space="preserve"> air pollution</w:t>
            </w:r>
          </w:p>
        </w:tc>
        <w:tc>
          <w:tcPr>
            <w:tcW w:w="1670" w:type="dxa"/>
          </w:tcPr>
          <w:p w14:paraId="3EA6C049" w14:textId="7A58496B" w:rsidR="00BD41D7" w:rsidRPr="00E30A37" w:rsidRDefault="004A68AF" w:rsidP="00351381">
            <w:pPr>
              <w:rPr>
                <w:sz w:val="20"/>
                <w:szCs w:val="20"/>
              </w:rPr>
            </w:pPr>
            <w:r w:rsidRPr="00E30A37">
              <w:rPr>
                <w:sz w:val="20"/>
                <w:szCs w:val="20"/>
              </w:rPr>
              <w:t>Mean NO</w:t>
            </w:r>
            <w:r w:rsidRPr="00E30A37">
              <w:rPr>
                <w:sz w:val="20"/>
                <w:szCs w:val="20"/>
                <w:vertAlign w:val="subscript"/>
              </w:rPr>
              <w:t xml:space="preserve">2 </w:t>
            </w:r>
            <w:r w:rsidRPr="00E30A37">
              <w:rPr>
                <w:sz w:val="20"/>
                <w:szCs w:val="20"/>
              </w:rPr>
              <w:t>pollution per ward</w:t>
            </w:r>
          </w:p>
        </w:tc>
        <w:tc>
          <w:tcPr>
            <w:tcW w:w="3051" w:type="dxa"/>
          </w:tcPr>
          <w:p w14:paraId="07B81FD6" w14:textId="77777777" w:rsidR="00BD41D7" w:rsidRPr="00E30A37" w:rsidRDefault="004A68AF" w:rsidP="00351381">
            <w:pPr>
              <w:rPr>
                <w:sz w:val="20"/>
                <w:szCs w:val="20"/>
              </w:rPr>
            </w:pPr>
            <w:r w:rsidRPr="00E30A37">
              <w:rPr>
                <w:sz w:val="20"/>
                <w:szCs w:val="20"/>
              </w:rPr>
              <w:t xml:space="preserve">London Atmospheric Emissions Inventory (LAEI) 2013 </w:t>
            </w:r>
          </w:p>
          <w:p w14:paraId="1E2B8BDC" w14:textId="48F2050A" w:rsidR="004A68AF" w:rsidRPr="00E30A37" w:rsidRDefault="004A68AF" w:rsidP="00351381">
            <w:pPr>
              <w:rPr>
                <w:sz w:val="20"/>
                <w:szCs w:val="20"/>
              </w:rPr>
            </w:pPr>
          </w:p>
        </w:tc>
        <w:tc>
          <w:tcPr>
            <w:tcW w:w="4411" w:type="dxa"/>
          </w:tcPr>
          <w:p w14:paraId="07A13A83" w14:textId="45274E86" w:rsidR="00BD41D7" w:rsidRPr="00E30A37" w:rsidRDefault="009E323F" w:rsidP="00351381">
            <w:pPr>
              <w:rPr>
                <w:sz w:val="20"/>
                <w:szCs w:val="20"/>
              </w:rPr>
            </w:pPr>
            <w:hyperlink r:id="rId13" w:history="1">
              <w:r w:rsidR="004A68AF" w:rsidRPr="00E30A37">
                <w:rPr>
                  <w:rStyle w:val="Hyperlink"/>
                  <w:sz w:val="20"/>
                  <w:szCs w:val="20"/>
                </w:rPr>
                <w:t>https://data.london.gov.uk/dataset/london-atmospheric-emissions-inventory-2013</w:t>
              </w:r>
            </w:hyperlink>
            <w:r w:rsidR="004A68AF" w:rsidRPr="00E30A37">
              <w:rPr>
                <w:sz w:val="20"/>
                <w:szCs w:val="20"/>
              </w:rPr>
              <w:t xml:space="preserve"> </w:t>
            </w:r>
            <w:r w:rsidR="004A68AF" w:rsidRPr="00E30A37">
              <w:rPr>
                <w:sz w:val="20"/>
                <w:szCs w:val="20"/>
              </w:rPr>
              <w:cr/>
              <w:t xml:space="preserve"> </w:t>
            </w:r>
          </w:p>
        </w:tc>
        <w:tc>
          <w:tcPr>
            <w:tcW w:w="3637" w:type="dxa"/>
          </w:tcPr>
          <w:p w14:paraId="032D9B03" w14:textId="461547FB" w:rsidR="00BD41D7" w:rsidRPr="00E30A37" w:rsidRDefault="004A68AF" w:rsidP="00351381">
            <w:pPr>
              <w:rPr>
                <w:sz w:val="20"/>
                <w:szCs w:val="20"/>
              </w:rPr>
            </w:pPr>
            <w:r w:rsidRPr="00E30A37">
              <w:rPr>
                <w:sz w:val="20"/>
                <w:szCs w:val="20"/>
              </w:rPr>
              <w:t xml:space="preserve">Raw data is point </w:t>
            </w:r>
            <w:proofErr w:type="gramStart"/>
            <w:r w:rsidRPr="00E30A37">
              <w:rPr>
                <w:sz w:val="20"/>
                <w:szCs w:val="20"/>
              </w:rPr>
              <w:t>data,</w:t>
            </w:r>
            <w:proofErr w:type="gramEnd"/>
            <w:r w:rsidRPr="00E30A37">
              <w:rPr>
                <w:sz w:val="20"/>
                <w:szCs w:val="20"/>
              </w:rPr>
              <w:t xml:space="preserve"> ward value is mean of points within the ward</w:t>
            </w:r>
          </w:p>
        </w:tc>
      </w:tr>
      <w:tr w:rsidR="00BD41D7" w:rsidRPr="00E30A37" w14:paraId="0A6E6D6B" w14:textId="07A08707" w:rsidTr="00BD41D7">
        <w:tc>
          <w:tcPr>
            <w:tcW w:w="1405" w:type="dxa"/>
          </w:tcPr>
          <w:p w14:paraId="0CE91375" w14:textId="77777777" w:rsidR="00BD41D7" w:rsidRPr="00E30A37" w:rsidRDefault="00BD41D7" w:rsidP="00351381">
            <w:pPr>
              <w:rPr>
                <w:sz w:val="20"/>
                <w:szCs w:val="20"/>
              </w:rPr>
            </w:pPr>
            <w:r w:rsidRPr="00E30A37">
              <w:rPr>
                <w:sz w:val="20"/>
                <w:szCs w:val="20"/>
              </w:rPr>
              <w:t>Particulate matter (PM2.5 air pollution)</w:t>
            </w:r>
          </w:p>
        </w:tc>
        <w:tc>
          <w:tcPr>
            <w:tcW w:w="1670" w:type="dxa"/>
          </w:tcPr>
          <w:p w14:paraId="649C1B2F" w14:textId="0831835A" w:rsidR="00BD41D7" w:rsidRPr="00E30A37" w:rsidRDefault="004A68AF" w:rsidP="00351381">
            <w:pPr>
              <w:rPr>
                <w:sz w:val="20"/>
                <w:szCs w:val="20"/>
              </w:rPr>
            </w:pPr>
            <w:r w:rsidRPr="00E30A37">
              <w:rPr>
                <w:sz w:val="20"/>
                <w:szCs w:val="20"/>
              </w:rPr>
              <w:t>Mean PM2.5 pollution per ward</w:t>
            </w:r>
          </w:p>
        </w:tc>
        <w:tc>
          <w:tcPr>
            <w:tcW w:w="3051" w:type="dxa"/>
          </w:tcPr>
          <w:p w14:paraId="53CBD64E" w14:textId="2B06B2DB" w:rsidR="00BD41D7" w:rsidRPr="00E30A37" w:rsidRDefault="004A68AF" w:rsidP="00351381">
            <w:pPr>
              <w:rPr>
                <w:sz w:val="20"/>
                <w:szCs w:val="20"/>
              </w:rPr>
            </w:pPr>
            <w:r w:rsidRPr="00E30A37">
              <w:rPr>
                <w:sz w:val="20"/>
                <w:szCs w:val="20"/>
              </w:rPr>
              <w:t>London Atmospheric Emissions Inventory (LAEI) 2013</w:t>
            </w:r>
          </w:p>
        </w:tc>
        <w:tc>
          <w:tcPr>
            <w:tcW w:w="4411" w:type="dxa"/>
          </w:tcPr>
          <w:p w14:paraId="4DE94E52" w14:textId="14ED1B12" w:rsidR="00BD41D7" w:rsidRPr="00E30A37" w:rsidRDefault="009E323F" w:rsidP="00351381">
            <w:pPr>
              <w:rPr>
                <w:sz w:val="20"/>
                <w:szCs w:val="20"/>
              </w:rPr>
            </w:pPr>
            <w:hyperlink r:id="rId14" w:history="1">
              <w:r w:rsidR="004A68AF" w:rsidRPr="00E30A37">
                <w:rPr>
                  <w:rStyle w:val="Hyperlink"/>
                  <w:sz w:val="20"/>
                  <w:szCs w:val="20"/>
                </w:rPr>
                <w:t>https://data.london.gov.uk/dataset/london-atmospheric-emissions-inventory-2013</w:t>
              </w:r>
            </w:hyperlink>
            <w:r w:rsidR="004A68AF" w:rsidRPr="00E30A37">
              <w:rPr>
                <w:sz w:val="20"/>
                <w:szCs w:val="20"/>
              </w:rPr>
              <w:t xml:space="preserve"> </w:t>
            </w:r>
            <w:r w:rsidR="004A68AF" w:rsidRPr="00E30A37">
              <w:rPr>
                <w:sz w:val="20"/>
                <w:szCs w:val="20"/>
              </w:rPr>
              <w:cr/>
              <w:t xml:space="preserve"> </w:t>
            </w:r>
          </w:p>
        </w:tc>
        <w:tc>
          <w:tcPr>
            <w:tcW w:w="3637" w:type="dxa"/>
          </w:tcPr>
          <w:p w14:paraId="3468CF38" w14:textId="3977471E" w:rsidR="00BD41D7" w:rsidRPr="00E30A37" w:rsidRDefault="004A68AF" w:rsidP="00351381">
            <w:pPr>
              <w:rPr>
                <w:sz w:val="20"/>
                <w:szCs w:val="20"/>
              </w:rPr>
            </w:pPr>
            <w:r w:rsidRPr="00E30A37">
              <w:rPr>
                <w:sz w:val="20"/>
                <w:szCs w:val="20"/>
              </w:rPr>
              <w:t xml:space="preserve">Raw data is point </w:t>
            </w:r>
            <w:proofErr w:type="gramStart"/>
            <w:r w:rsidRPr="00E30A37">
              <w:rPr>
                <w:sz w:val="20"/>
                <w:szCs w:val="20"/>
              </w:rPr>
              <w:t>data,</w:t>
            </w:r>
            <w:proofErr w:type="gramEnd"/>
            <w:r w:rsidRPr="00E30A37">
              <w:rPr>
                <w:sz w:val="20"/>
                <w:szCs w:val="20"/>
              </w:rPr>
              <w:t xml:space="preserve"> ward value is mean of points within the ward</w:t>
            </w:r>
          </w:p>
        </w:tc>
      </w:tr>
      <w:tr w:rsidR="00BD41D7" w:rsidRPr="00E30A37" w14:paraId="1A46314F" w14:textId="33E2603E" w:rsidTr="00BD41D7">
        <w:tc>
          <w:tcPr>
            <w:tcW w:w="1405" w:type="dxa"/>
          </w:tcPr>
          <w:p w14:paraId="49685C3D" w14:textId="77777777" w:rsidR="00BD41D7" w:rsidRPr="00E30A37" w:rsidRDefault="00BD41D7" w:rsidP="00351381">
            <w:pPr>
              <w:rPr>
                <w:sz w:val="20"/>
                <w:szCs w:val="20"/>
              </w:rPr>
            </w:pPr>
            <w:r w:rsidRPr="00E30A37">
              <w:rPr>
                <w:sz w:val="20"/>
                <w:szCs w:val="20"/>
              </w:rPr>
              <w:t>Access to nature</w:t>
            </w:r>
          </w:p>
        </w:tc>
        <w:tc>
          <w:tcPr>
            <w:tcW w:w="1670" w:type="dxa"/>
          </w:tcPr>
          <w:p w14:paraId="43A77D1B" w14:textId="093E49D6" w:rsidR="00BD41D7" w:rsidRPr="00E30A37" w:rsidRDefault="004A68AF" w:rsidP="00351381">
            <w:pPr>
              <w:rPr>
                <w:sz w:val="20"/>
                <w:szCs w:val="20"/>
              </w:rPr>
            </w:pPr>
            <w:r w:rsidRPr="00E30A37">
              <w:rPr>
                <w:sz w:val="20"/>
                <w:szCs w:val="20"/>
              </w:rPr>
              <w:t>% of ward area that is in a Site of Importance for Nature Conservation</w:t>
            </w:r>
          </w:p>
        </w:tc>
        <w:tc>
          <w:tcPr>
            <w:tcW w:w="3051" w:type="dxa"/>
          </w:tcPr>
          <w:p w14:paraId="0B7752B3" w14:textId="0D1BD8E4" w:rsidR="00BD41D7" w:rsidRPr="00E30A37" w:rsidRDefault="004A68AF" w:rsidP="00351381">
            <w:pPr>
              <w:rPr>
                <w:sz w:val="20"/>
                <w:szCs w:val="20"/>
              </w:rPr>
            </w:pPr>
            <w:r w:rsidRPr="00E30A37">
              <w:rPr>
                <w:sz w:val="20"/>
                <w:szCs w:val="20"/>
              </w:rPr>
              <w:t>Access to Public Open Space and Nature by Ward (GiGL)</w:t>
            </w:r>
          </w:p>
        </w:tc>
        <w:tc>
          <w:tcPr>
            <w:tcW w:w="4411" w:type="dxa"/>
          </w:tcPr>
          <w:p w14:paraId="7BAC40FD" w14:textId="3931CE4F" w:rsidR="00BD41D7" w:rsidRPr="00E30A37" w:rsidRDefault="009E323F" w:rsidP="00351381">
            <w:pPr>
              <w:rPr>
                <w:sz w:val="20"/>
                <w:szCs w:val="20"/>
              </w:rPr>
            </w:pPr>
            <w:hyperlink r:id="rId15" w:history="1">
              <w:r w:rsidR="004A68AF" w:rsidRPr="00E30A37">
                <w:rPr>
                  <w:rStyle w:val="Hyperlink"/>
                  <w:sz w:val="20"/>
                  <w:szCs w:val="20"/>
                </w:rPr>
                <w:t>https://data.london.gov.uk/dataset/access-public-open-space-and-nature-ward</w:t>
              </w:r>
            </w:hyperlink>
            <w:r w:rsidR="004A68AF" w:rsidRPr="00E30A37">
              <w:rPr>
                <w:sz w:val="20"/>
                <w:szCs w:val="20"/>
              </w:rPr>
              <w:t xml:space="preserve"> </w:t>
            </w:r>
          </w:p>
        </w:tc>
        <w:tc>
          <w:tcPr>
            <w:tcW w:w="3637" w:type="dxa"/>
          </w:tcPr>
          <w:p w14:paraId="0E92EB01" w14:textId="2BB11C66" w:rsidR="00BD41D7" w:rsidRPr="00E30A37" w:rsidRDefault="00BD41D7" w:rsidP="00351381">
            <w:pPr>
              <w:rPr>
                <w:sz w:val="20"/>
                <w:szCs w:val="20"/>
              </w:rPr>
            </w:pPr>
          </w:p>
        </w:tc>
      </w:tr>
      <w:tr w:rsidR="00BD41D7" w:rsidRPr="00E30A37" w14:paraId="60EE2C3D" w14:textId="354E313C" w:rsidTr="00BD41D7">
        <w:tc>
          <w:tcPr>
            <w:tcW w:w="1405" w:type="dxa"/>
          </w:tcPr>
          <w:p w14:paraId="11DE5FDF" w14:textId="77777777" w:rsidR="00BD41D7" w:rsidRPr="00E30A37" w:rsidRDefault="00BD41D7" w:rsidP="00351381">
            <w:pPr>
              <w:rPr>
                <w:sz w:val="20"/>
                <w:szCs w:val="20"/>
              </w:rPr>
            </w:pPr>
            <w:r w:rsidRPr="00E30A37">
              <w:rPr>
                <w:sz w:val="20"/>
                <w:szCs w:val="20"/>
              </w:rPr>
              <w:t>Surface water flood risk</w:t>
            </w:r>
          </w:p>
        </w:tc>
        <w:tc>
          <w:tcPr>
            <w:tcW w:w="1670" w:type="dxa"/>
          </w:tcPr>
          <w:p w14:paraId="1B109C05" w14:textId="0545C009" w:rsidR="00BD41D7" w:rsidRPr="00E30A37" w:rsidRDefault="00E30A37" w:rsidP="00351381">
            <w:pPr>
              <w:rPr>
                <w:sz w:val="20"/>
                <w:szCs w:val="20"/>
              </w:rPr>
            </w:pPr>
            <w:r w:rsidRPr="00E30A37">
              <w:rPr>
                <w:sz w:val="20"/>
                <w:szCs w:val="20"/>
              </w:rPr>
              <w:t>Any locations of medium/high flood risk within the ward (Y/N)</w:t>
            </w:r>
          </w:p>
        </w:tc>
        <w:tc>
          <w:tcPr>
            <w:tcW w:w="3051" w:type="dxa"/>
          </w:tcPr>
          <w:p w14:paraId="673E3385" w14:textId="2FC88875" w:rsidR="00BD41D7" w:rsidRPr="00E30A37" w:rsidRDefault="00E30A37" w:rsidP="00351381">
            <w:pPr>
              <w:rPr>
                <w:sz w:val="20"/>
                <w:szCs w:val="20"/>
              </w:rPr>
            </w:pPr>
            <w:r w:rsidRPr="00E30A37">
              <w:rPr>
                <w:sz w:val="20"/>
                <w:szCs w:val="20"/>
              </w:rPr>
              <w:t>Flood Risk Zones (Environment Agency)</w:t>
            </w:r>
          </w:p>
        </w:tc>
        <w:tc>
          <w:tcPr>
            <w:tcW w:w="4411" w:type="dxa"/>
          </w:tcPr>
          <w:p w14:paraId="584B6F00" w14:textId="3C6024D5" w:rsidR="00BD41D7" w:rsidRPr="00E30A37" w:rsidRDefault="009E323F" w:rsidP="00351381">
            <w:pPr>
              <w:rPr>
                <w:sz w:val="20"/>
                <w:szCs w:val="20"/>
              </w:rPr>
            </w:pPr>
            <w:hyperlink r:id="rId16" w:history="1">
              <w:r w:rsidR="00E30A37" w:rsidRPr="00E30A37">
                <w:rPr>
                  <w:rStyle w:val="Hyperlink"/>
                  <w:sz w:val="20"/>
                  <w:szCs w:val="20"/>
                </w:rPr>
                <w:t>https://data.london.gov.uk/dataset/flood-risk-zones</w:t>
              </w:r>
            </w:hyperlink>
            <w:r w:rsidR="00E30A37" w:rsidRPr="00E30A37">
              <w:rPr>
                <w:sz w:val="20"/>
                <w:szCs w:val="20"/>
              </w:rPr>
              <w:t xml:space="preserve"> </w:t>
            </w:r>
            <w:r w:rsidR="00E30A37" w:rsidRPr="00E30A37">
              <w:rPr>
                <w:sz w:val="20"/>
                <w:szCs w:val="20"/>
              </w:rPr>
              <w:cr/>
              <w:t xml:space="preserve">  </w:t>
            </w:r>
          </w:p>
        </w:tc>
        <w:tc>
          <w:tcPr>
            <w:tcW w:w="3637" w:type="dxa"/>
          </w:tcPr>
          <w:p w14:paraId="13C39EE8" w14:textId="449B3E8F" w:rsidR="00BD41D7" w:rsidRPr="00E30A37" w:rsidRDefault="00E30A37" w:rsidP="00351381">
            <w:pPr>
              <w:rPr>
                <w:sz w:val="20"/>
                <w:szCs w:val="20"/>
              </w:rPr>
            </w:pPr>
            <w:r w:rsidRPr="00E30A37">
              <w:rPr>
                <w:sz w:val="20"/>
                <w:szCs w:val="20"/>
              </w:rPr>
              <w:t>Surface water flooding occurs in highly localised areas within wards</w:t>
            </w:r>
          </w:p>
        </w:tc>
      </w:tr>
      <w:tr w:rsidR="00BD41D7" w:rsidRPr="00E30A37" w14:paraId="50B944CC" w14:textId="52B3ECC7" w:rsidTr="00BD41D7">
        <w:tc>
          <w:tcPr>
            <w:tcW w:w="1405" w:type="dxa"/>
          </w:tcPr>
          <w:p w14:paraId="2C2406D0" w14:textId="77777777" w:rsidR="00BD41D7" w:rsidRPr="00E30A37" w:rsidRDefault="00BD41D7" w:rsidP="00351381">
            <w:pPr>
              <w:rPr>
                <w:sz w:val="20"/>
                <w:szCs w:val="20"/>
              </w:rPr>
            </w:pPr>
            <w:r w:rsidRPr="00E30A37">
              <w:rPr>
                <w:sz w:val="20"/>
                <w:szCs w:val="20"/>
              </w:rPr>
              <w:t>Water quality</w:t>
            </w:r>
          </w:p>
        </w:tc>
        <w:tc>
          <w:tcPr>
            <w:tcW w:w="1670" w:type="dxa"/>
          </w:tcPr>
          <w:p w14:paraId="7D262D8E" w14:textId="2211E1D3" w:rsidR="00BD41D7" w:rsidRPr="00E30A37" w:rsidRDefault="00E30A37" w:rsidP="00351381">
            <w:pPr>
              <w:rPr>
                <w:sz w:val="20"/>
                <w:szCs w:val="20"/>
              </w:rPr>
            </w:pPr>
            <w:r w:rsidRPr="00E30A37">
              <w:rPr>
                <w:sz w:val="20"/>
                <w:szCs w:val="20"/>
              </w:rPr>
              <w:t>Any locations of “Poor” water quality (WFD classification) within the ward (Y/N)</w:t>
            </w:r>
          </w:p>
        </w:tc>
        <w:tc>
          <w:tcPr>
            <w:tcW w:w="3051" w:type="dxa"/>
          </w:tcPr>
          <w:p w14:paraId="3CAE922E" w14:textId="1D73A19B" w:rsidR="00BD41D7" w:rsidRPr="00E30A37" w:rsidRDefault="00E30A37" w:rsidP="00351381">
            <w:pPr>
              <w:rPr>
                <w:sz w:val="20"/>
                <w:szCs w:val="20"/>
              </w:rPr>
            </w:pPr>
            <w:r w:rsidRPr="00E30A37">
              <w:rPr>
                <w:sz w:val="20"/>
                <w:szCs w:val="20"/>
              </w:rPr>
              <w:t>Water Quality of London’s Rivers and Other Waterbodies (Environment Agency)</w:t>
            </w:r>
          </w:p>
        </w:tc>
        <w:tc>
          <w:tcPr>
            <w:tcW w:w="4411" w:type="dxa"/>
          </w:tcPr>
          <w:p w14:paraId="102AB047" w14:textId="23C0F53D" w:rsidR="00BD41D7" w:rsidRPr="00E30A37" w:rsidRDefault="009E323F" w:rsidP="00351381">
            <w:pPr>
              <w:rPr>
                <w:sz w:val="20"/>
                <w:szCs w:val="20"/>
              </w:rPr>
            </w:pPr>
            <w:hyperlink r:id="rId17" w:history="1">
              <w:r w:rsidR="00E30A37" w:rsidRPr="00E30A37">
                <w:rPr>
                  <w:rStyle w:val="Hyperlink"/>
                  <w:sz w:val="20"/>
                  <w:szCs w:val="20"/>
                </w:rPr>
                <w:t>https://data.london.gov.uk/dataset/water-quality-london-rivers-other-waterbodies</w:t>
              </w:r>
            </w:hyperlink>
            <w:r w:rsidR="00E30A37" w:rsidRPr="00E30A37">
              <w:rPr>
                <w:sz w:val="20"/>
                <w:szCs w:val="20"/>
              </w:rPr>
              <w:t xml:space="preserve"> </w:t>
            </w:r>
          </w:p>
        </w:tc>
        <w:tc>
          <w:tcPr>
            <w:tcW w:w="3637" w:type="dxa"/>
          </w:tcPr>
          <w:p w14:paraId="5B8F8338" w14:textId="7E1D6E01" w:rsidR="00BD41D7" w:rsidRPr="00E30A37" w:rsidRDefault="00E30A37" w:rsidP="00351381">
            <w:pPr>
              <w:rPr>
                <w:sz w:val="20"/>
                <w:szCs w:val="20"/>
              </w:rPr>
            </w:pPr>
            <w:r w:rsidRPr="00E30A37">
              <w:rPr>
                <w:sz w:val="20"/>
                <w:szCs w:val="20"/>
              </w:rPr>
              <w:t xml:space="preserve">Poor water quality occurs within highly localised areas within wards </w:t>
            </w:r>
          </w:p>
        </w:tc>
      </w:tr>
    </w:tbl>
    <w:p w14:paraId="098F5401" w14:textId="77777777" w:rsidR="00E30A37" w:rsidRDefault="00E30A37">
      <w:pPr>
        <w:sectPr w:rsidR="00E30A37" w:rsidSect="00BD41D7">
          <w:pgSz w:w="16838" w:h="11906" w:orient="landscape"/>
          <w:pgMar w:top="1440" w:right="1440" w:bottom="1440" w:left="1440" w:header="709" w:footer="709" w:gutter="0"/>
          <w:cols w:space="708"/>
          <w:docGrid w:linePitch="360"/>
        </w:sectPr>
      </w:pPr>
    </w:p>
    <w:p w14:paraId="09DF9A80" w14:textId="77777777" w:rsidR="00E30A37" w:rsidRPr="005C31A7" w:rsidRDefault="00E30A37" w:rsidP="00586A58">
      <w:pPr>
        <w:rPr>
          <w:b/>
          <w:bCs/>
        </w:rPr>
      </w:pPr>
    </w:p>
    <w:sectPr w:rsidR="00E30A37" w:rsidRPr="005C31A7" w:rsidSect="00E30A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8F2B6" w14:textId="77777777" w:rsidR="00E71540" w:rsidRDefault="00E71540" w:rsidP="00E71540">
      <w:r>
        <w:separator/>
      </w:r>
    </w:p>
  </w:endnote>
  <w:endnote w:type="continuationSeparator" w:id="0">
    <w:p w14:paraId="1B8FD8B5" w14:textId="77777777" w:rsidR="00E71540" w:rsidRDefault="00E71540" w:rsidP="00E7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3BCAE" w14:textId="77777777" w:rsidR="00E71540" w:rsidRDefault="00E71540" w:rsidP="00E71540">
      <w:r>
        <w:separator/>
      </w:r>
    </w:p>
  </w:footnote>
  <w:footnote w:type="continuationSeparator" w:id="0">
    <w:p w14:paraId="2FD50010" w14:textId="77777777" w:rsidR="00E71540" w:rsidRDefault="00E71540" w:rsidP="00E71540">
      <w:r>
        <w:continuationSeparator/>
      </w:r>
    </w:p>
  </w:footnote>
  <w:footnote w:id="1">
    <w:p w14:paraId="20FDC19A" w14:textId="6108F97B" w:rsidR="00E71540" w:rsidRDefault="00E71540">
      <w:pPr>
        <w:pStyle w:val="FootnoteText"/>
      </w:pPr>
      <w:r>
        <w:rPr>
          <w:rStyle w:val="FootnoteReference"/>
        </w:rPr>
        <w:footnoteRef/>
      </w:r>
      <w:r>
        <w:t xml:space="preserve"> Wards correct as of March 2019. The City of London is included as a single ward.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85560B"/>
    <w:multiLevelType w:val="hybridMultilevel"/>
    <w:tmpl w:val="78C25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070766"/>
    <w:multiLevelType w:val="hybridMultilevel"/>
    <w:tmpl w:val="262CD106"/>
    <w:lvl w:ilvl="0" w:tplc="08090001">
      <w:start w:val="1"/>
      <w:numFmt w:val="bullet"/>
      <w:lvlText w:val=""/>
      <w:lvlJc w:val="left"/>
      <w:pPr>
        <w:ind w:left="3633" w:hanging="360"/>
      </w:pPr>
      <w:rPr>
        <w:rFonts w:ascii="Symbol" w:hAnsi="Symbol" w:hint="default"/>
      </w:rPr>
    </w:lvl>
    <w:lvl w:ilvl="1" w:tplc="08090003" w:tentative="1">
      <w:start w:val="1"/>
      <w:numFmt w:val="bullet"/>
      <w:lvlText w:val="o"/>
      <w:lvlJc w:val="left"/>
      <w:pPr>
        <w:ind w:left="4353" w:hanging="360"/>
      </w:pPr>
      <w:rPr>
        <w:rFonts w:ascii="Courier New" w:hAnsi="Courier New" w:cs="Courier New" w:hint="default"/>
      </w:rPr>
    </w:lvl>
    <w:lvl w:ilvl="2" w:tplc="08090005" w:tentative="1">
      <w:start w:val="1"/>
      <w:numFmt w:val="bullet"/>
      <w:lvlText w:val=""/>
      <w:lvlJc w:val="left"/>
      <w:pPr>
        <w:ind w:left="5073" w:hanging="360"/>
      </w:pPr>
      <w:rPr>
        <w:rFonts w:ascii="Wingdings" w:hAnsi="Wingdings" w:hint="default"/>
      </w:rPr>
    </w:lvl>
    <w:lvl w:ilvl="3" w:tplc="08090001" w:tentative="1">
      <w:start w:val="1"/>
      <w:numFmt w:val="bullet"/>
      <w:lvlText w:val=""/>
      <w:lvlJc w:val="left"/>
      <w:pPr>
        <w:ind w:left="5793" w:hanging="360"/>
      </w:pPr>
      <w:rPr>
        <w:rFonts w:ascii="Symbol" w:hAnsi="Symbol" w:hint="default"/>
      </w:rPr>
    </w:lvl>
    <w:lvl w:ilvl="4" w:tplc="08090003" w:tentative="1">
      <w:start w:val="1"/>
      <w:numFmt w:val="bullet"/>
      <w:lvlText w:val="o"/>
      <w:lvlJc w:val="left"/>
      <w:pPr>
        <w:ind w:left="6513" w:hanging="360"/>
      </w:pPr>
      <w:rPr>
        <w:rFonts w:ascii="Courier New" w:hAnsi="Courier New" w:cs="Courier New" w:hint="default"/>
      </w:rPr>
    </w:lvl>
    <w:lvl w:ilvl="5" w:tplc="08090005" w:tentative="1">
      <w:start w:val="1"/>
      <w:numFmt w:val="bullet"/>
      <w:lvlText w:val=""/>
      <w:lvlJc w:val="left"/>
      <w:pPr>
        <w:ind w:left="7233" w:hanging="360"/>
      </w:pPr>
      <w:rPr>
        <w:rFonts w:ascii="Wingdings" w:hAnsi="Wingdings" w:hint="default"/>
      </w:rPr>
    </w:lvl>
    <w:lvl w:ilvl="6" w:tplc="08090001" w:tentative="1">
      <w:start w:val="1"/>
      <w:numFmt w:val="bullet"/>
      <w:lvlText w:val=""/>
      <w:lvlJc w:val="left"/>
      <w:pPr>
        <w:ind w:left="7953" w:hanging="360"/>
      </w:pPr>
      <w:rPr>
        <w:rFonts w:ascii="Symbol" w:hAnsi="Symbol" w:hint="default"/>
      </w:rPr>
    </w:lvl>
    <w:lvl w:ilvl="7" w:tplc="08090003" w:tentative="1">
      <w:start w:val="1"/>
      <w:numFmt w:val="bullet"/>
      <w:lvlText w:val="o"/>
      <w:lvlJc w:val="left"/>
      <w:pPr>
        <w:ind w:left="8673" w:hanging="360"/>
      </w:pPr>
      <w:rPr>
        <w:rFonts w:ascii="Courier New" w:hAnsi="Courier New" w:cs="Courier New" w:hint="default"/>
      </w:rPr>
    </w:lvl>
    <w:lvl w:ilvl="8" w:tplc="08090005" w:tentative="1">
      <w:start w:val="1"/>
      <w:numFmt w:val="bullet"/>
      <w:lvlText w:val=""/>
      <w:lvlJc w:val="left"/>
      <w:pPr>
        <w:ind w:left="9393" w:hanging="360"/>
      </w:pPr>
      <w:rPr>
        <w:rFonts w:ascii="Wingdings" w:hAnsi="Wingdings" w:hint="default"/>
      </w:rPr>
    </w:lvl>
  </w:abstractNum>
  <w:abstractNum w:abstractNumId="2" w15:restartNumberingAfterBreak="0">
    <w:nsid w:val="448F5B1C"/>
    <w:multiLevelType w:val="hybridMultilevel"/>
    <w:tmpl w:val="29004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47811"/>
    <w:multiLevelType w:val="hybridMultilevel"/>
    <w:tmpl w:val="E54AC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71540"/>
    <w:rsid w:val="000136B9"/>
    <w:rsid w:val="00055E35"/>
    <w:rsid w:val="00137357"/>
    <w:rsid w:val="002E66FC"/>
    <w:rsid w:val="0035694F"/>
    <w:rsid w:val="004A68AF"/>
    <w:rsid w:val="004B017D"/>
    <w:rsid w:val="00586A58"/>
    <w:rsid w:val="005C31A7"/>
    <w:rsid w:val="0074521F"/>
    <w:rsid w:val="009E323F"/>
    <w:rsid w:val="00AF22A0"/>
    <w:rsid w:val="00BD41D7"/>
    <w:rsid w:val="00CD29B5"/>
    <w:rsid w:val="00D43831"/>
    <w:rsid w:val="00E20DC7"/>
    <w:rsid w:val="00E30A37"/>
    <w:rsid w:val="00E71540"/>
    <w:rsid w:val="00EB1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83B24"/>
  <w15:chartTrackingRefBased/>
  <w15:docId w15:val="{F77642D9-50D0-461F-A652-7BD92699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C31A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 w:type="paragraph" w:styleId="FootnoteText">
    <w:name w:val="footnote text"/>
    <w:basedOn w:val="Normal"/>
    <w:link w:val="FootnoteTextChar"/>
    <w:semiHidden/>
    <w:unhideWhenUsed/>
    <w:rsid w:val="00E71540"/>
    <w:rPr>
      <w:sz w:val="20"/>
      <w:szCs w:val="20"/>
    </w:rPr>
  </w:style>
  <w:style w:type="character" w:customStyle="1" w:styleId="FootnoteTextChar">
    <w:name w:val="Footnote Text Char"/>
    <w:basedOn w:val="DefaultParagraphFont"/>
    <w:link w:val="FootnoteText"/>
    <w:semiHidden/>
    <w:rsid w:val="00E71540"/>
    <w:rPr>
      <w:rFonts w:ascii="Foundry Form Sans" w:hAnsi="Foundry Form Sans"/>
      <w:lang w:eastAsia="en-US"/>
    </w:rPr>
  </w:style>
  <w:style w:type="character" w:styleId="FootnoteReference">
    <w:name w:val="footnote reference"/>
    <w:basedOn w:val="DefaultParagraphFont"/>
    <w:semiHidden/>
    <w:unhideWhenUsed/>
    <w:rsid w:val="00E71540"/>
    <w:rPr>
      <w:vertAlign w:val="superscript"/>
    </w:rPr>
  </w:style>
  <w:style w:type="paragraph" w:styleId="ListParagraph">
    <w:name w:val="List Paragraph"/>
    <w:basedOn w:val="Normal"/>
    <w:uiPriority w:val="34"/>
    <w:qFormat/>
    <w:rsid w:val="00055E35"/>
    <w:pPr>
      <w:ind w:left="720"/>
      <w:contextualSpacing/>
    </w:pPr>
  </w:style>
  <w:style w:type="character" w:styleId="Hyperlink">
    <w:name w:val="Hyperlink"/>
    <w:basedOn w:val="DefaultParagraphFont"/>
    <w:unhideWhenUsed/>
    <w:rsid w:val="00055E35"/>
    <w:rPr>
      <w:color w:val="0000FF" w:themeColor="hyperlink"/>
      <w:u w:val="single"/>
    </w:rPr>
  </w:style>
  <w:style w:type="character" w:styleId="UnresolvedMention">
    <w:name w:val="Unresolved Mention"/>
    <w:basedOn w:val="DefaultParagraphFont"/>
    <w:uiPriority w:val="99"/>
    <w:semiHidden/>
    <w:unhideWhenUsed/>
    <w:rsid w:val="00055E35"/>
    <w:rPr>
      <w:color w:val="605E5C"/>
      <w:shd w:val="clear" w:color="auto" w:fill="E1DFDD"/>
    </w:rPr>
  </w:style>
  <w:style w:type="table" w:styleId="TableGrid">
    <w:name w:val="Table Grid"/>
    <w:basedOn w:val="TableNormal"/>
    <w:rsid w:val="00E20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20DC7"/>
    <w:rPr>
      <w:color w:val="800080" w:themeColor="followedHyperlink"/>
      <w:u w:val="single"/>
    </w:rPr>
  </w:style>
  <w:style w:type="character" w:customStyle="1" w:styleId="Heading3Char">
    <w:name w:val="Heading 3 Char"/>
    <w:basedOn w:val="DefaultParagraphFont"/>
    <w:link w:val="Heading3"/>
    <w:semiHidden/>
    <w:rsid w:val="005C31A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london.gov.uk/dataset/tree-canopy-cover-prioritisation-tool" TargetMode="External"/><Relationship Id="rId13" Type="http://schemas.openxmlformats.org/officeDocument/2006/relationships/hyperlink" Target="https://data.london.gov.uk/dataset/london-atmospheric-emissions-inventory-20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london.gov.uk/dataset/london-s-urban-heat-island---average-summer" TargetMode="External"/><Relationship Id="rId17" Type="http://schemas.openxmlformats.org/officeDocument/2006/relationships/hyperlink" Target="https://data.london.gov.uk/dataset/water-quality-london-rivers-other-waterbodies" TargetMode="External"/><Relationship Id="rId2" Type="http://schemas.openxmlformats.org/officeDocument/2006/relationships/numbering" Target="numbering.xml"/><Relationship Id="rId16" Type="http://schemas.openxmlformats.org/officeDocument/2006/relationships/hyperlink" Target="https://data.london.gov.uk/dataset/flood-risk-z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english-indices-of-deprivation-2015" TargetMode="External"/><Relationship Id="rId5" Type="http://schemas.openxmlformats.org/officeDocument/2006/relationships/webSettings" Target="webSettings.xml"/><Relationship Id="rId15" Type="http://schemas.openxmlformats.org/officeDocument/2006/relationships/hyperlink" Target="https://data.london.gov.uk/dataset/access-public-open-space-and-nature-ward" TargetMode="External"/><Relationship Id="rId10" Type="http://schemas.openxmlformats.org/officeDocument/2006/relationships/hyperlink" Target="https://data.london.gov.uk/dataset/green-and-blue-cove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ata.london.gov.uk/dataset/curio-canopy" TargetMode="External"/><Relationship Id="rId14" Type="http://schemas.openxmlformats.org/officeDocument/2006/relationships/hyperlink" Target="https://data.london.gov.uk/dataset/london-atmospheric-emissions-inventory-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CCB0-3524-42B3-8579-A3A3AA30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Connor</dc:creator>
  <cp:keywords/>
  <dc:description/>
  <cp:lastModifiedBy>Nicole Collomb</cp:lastModifiedBy>
  <cp:revision>9</cp:revision>
  <dcterms:created xsi:type="dcterms:W3CDTF">2020-06-29T15:57:00Z</dcterms:created>
  <dcterms:modified xsi:type="dcterms:W3CDTF">2020-10-30T14:40:00Z</dcterms:modified>
</cp:coreProperties>
</file>